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872B65" w14:textId="77777777" w:rsidR="00B35F90" w:rsidRPr="000404EF" w:rsidRDefault="00B35F90" w:rsidP="00B35F90">
      <w:pPr>
        <w:pStyle w:val="3GPPHeader"/>
        <w:spacing w:after="60"/>
        <w:rPr>
          <w:lang w:val="en-US"/>
        </w:rPr>
      </w:pPr>
      <w:r w:rsidRPr="000404EF">
        <w:rPr>
          <w:lang w:val="en-US"/>
        </w:rPr>
        <w:t>3GPP TSG-RAN WG2</w:t>
      </w:r>
      <w:r>
        <w:rPr>
          <w:lang w:val="en-US"/>
        </w:rPr>
        <w:t xml:space="preserve"> #97</w:t>
      </w:r>
      <w:r w:rsidRPr="000404EF">
        <w:rPr>
          <w:lang w:val="en-US"/>
        </w:rPr>
        <w:tab/>
      </w:r>
      <w:proofErr w:type="spellStart"/>
      <w:r w:rsidRPr="000404EF">
        <w:rPr>
          <w:lang w:val="en-US"/>
        </w:rPr>
        <w:t>Tdoc</w:t>
      </w:r>
      <w:proofErr w:type="spellEnd"/>
      <w:r w:rsidRPr="000404EF">
        <w:rPr>
          <w:lang w:val="en-US"/>
        </w:rPr>
        <w:t xml:space="preserve"> </w:t>
      </w:r>
      <w:bookmarkStart w:id="0" w:name="_GoBack"/>
      <w:r w:rsidR="007C1B67" w:rsidRPr="007C1B67">
        <w:rPr>
          <w:bCs/>
        </w:rPr>
        <w:t>R2-1700913</w:t>
      </w:r>
      <w:bookmarkEnd w:id="0"/>
    </w:p>
    <w:p w14:paraId="6398928A" w14:textId="77777777" w:rsidR="00B35F90" w:rsidRDefault="00B35F90" w:rsidP="00B35F90">
      <w:pPr>
        <w:pStyle w:val="3GPPHeader"/>
        <w:spacing w:after="60"/>
        <w:rPr>
          <w:b w:val="0"/>
          <w:noProof/>
        </w:rPr>
      </w:pPr>
      <w:r>
        <w:rPr>
          <w:lang w:val="en-US"/>
        </w:rPr>
        <w:t>Athens</w:t>
      </w:r>
      <w:r w:rsidRPr="00910EE8">
        <w:rPr>
          <w:lang w:val="en-US"/>
        </w:rPr>
        <w:t xml:space="preserve">, </w:t>
      </w:r>
      <w:r>
        <w:rPr>
          <w:lang w:val="en-US"/>
        </w:rPr>
        <w:t>Greece</w:t>
      </w:r>
      <w:r w:rsidRPr="00910EE8">
        <w:rPr>
          <w:lang w:val="en-US"/>
        </w:rPr>
        <w:t>, 1</w:t>
      </w:r>
      <w:r>
        <w:rPr>
          <w:lang w:val="en-US"/>
        </w:rPr>
        <w:t>3</w:t>
      </w:r>
      <w:r w:rsidRPr="00910EE8">
        <w:rPr>
          <w:vertAlign w:val="superscript"/>
          <w:lang w:val="en-US"/>
        </w:rPr>
        <w:t>th</w:t>
      </w:r>
      <w:r>
        <w:rPr>
          <w:lang w:val="en-US"/>
        </w:rPr>
        <w:t xml:space="preserve"> </w:t>
      </w:r>
      <w:r w:rsidRPr="00910EE8">
        <w:rPr>
          <w:lang w:val="en-US"/>
        </w:rPr>
        <w:t>– 1</w:t>
      </w:r>
      <w:r>
        <w:rPr>
          <w:lang w:val="en-US"/>
        </w:rPr>
        <w:t>7</w:t>
      </w:r>
      <w:r w:rsidRPr="00910EE8">
        <w:rPr>
          <w:vertAlign w:val="superscript"/>
          <w:lang w:val="en-US"/>
        </w:rPr>
        <w:t>th</w:t>
      </w:r>
      <w:r>
        <w:rPr>
          <w:lang w:val="en-US"/>
        </w:rPr>
        <w:t xml:space="preserve"> February</w:t>
      </w:r>
      <w:r w:rsidRPr="00910EE8">
        <w:rPr>
          <w:lang w:val="en-US"/>
        </w:rPr>
        <w:t xml:space="preserve"> 2017</w:t>
      </w:r>
    </w:p>
    <w:p w14:paraId="6F3A9198" w14:textId="77777777" w:rsidR="00B734F4" w:rsidRDefault="00B734F4" w:rsidP="00B734F4">
      <w:pPr>
        <w:pStyle w:val="CRCoverPage"/>
        <w:outlineLvl w:val="0"/>
        <w:rPr>
          <w:b/>
          <w:noProof/>
          <w:sz w:val="24"/>
        </w:rPr>
      </w:pPr>
    </w:p>
    <w:p w14:paraId="34F06FC7" w14:textId="77777777" w:rsidR="00117344" w:rsidRPr="006C00EA" w:rsidRDefault="00117344" w:rsidP="006C00EA">
      <w:pPr>
        <w:pStyle w:val="CRCoverPage"/>
        <w:outlineLvl w:val="0"/>
        <w:rPr>
          <w:b/>
          <w:sz w:val="24"/>
        </w:rPr>
      </w:pPr>
    </w:p>
    <w:p w14:paraId="06FCED01" w14:textId="77777777" w:rsidR="00117344" w:rsidRPr="00F01E46" w:rsidRDefault="00117344" w:rsidP="00117344">
      <w:pPr>
        <w:pStyle w:val="3GPPHeader"/>
        <w:rPr>
          <w:sz w:val="22"/>
          <w:szCs w:val="22"/>
        </w:rPr>
      </w:pPr>
      <w:r w:rsidRPr="006C00EA">
        <w:rPr>
          <w:sz w:val="22"/>
          <w:szCs w:val="22"/>
        </w:rPr>
        <w:t>Agenda Item:</w:t>
      </w:r>
      <w:r w:rsidRPr="006C00EA">
        <w:rPr>
          <w:sz w:val="22"/>
          <w:szCs w:val="22"/>
        </w:rPr>
        <w:tab/>
      </w:r>
      <w:r w:rsidR="007C1B67">
        <w:rPr>
          <w:sz w:val="22"/>
          <w:szCs w:val="22"/>
        </w:rPr>
        <w:t>10.2.2.5</w:t>
      </w:r>
    </w:p>
    <w:p w14:paraId="301CEC52" w14:textId="77777777" w:rsidR="00117344" w:rsidRPr="00F01E46" w:rsidRDefault="00117344" w:rsidP="00117344">
      <w:pPr>
        <w:pStyle w:val="3GPPHeader"/>
        <w:rPr>
          <w:sz w:val="22"/>
          <w:szCs w:val="22"/>
        </w:rPr>
      </w:pPr>
      <w:r w:rsidRPr="00F01E46">
        <w:rPr>
          <w:sz w:val="22"/>
          <w:szCs w:val="22"/>
        </w:rPr>
        <w:t>Source:</w:t>
      </w:r>
      <w:r w:rsidRPr="00F01E46">
        <w:rPr>
          <w:sz w:val="22"/>
          <w:szCs w:val="22"/>
        </w:rPr>
        <w:tab/>
        <w:t>Ericsson</w:t>
      </w:r>
    </w:p>
    <w:p w14:paraId="60A2DF07" w14:textId="77777777" w:rsidR="00117344" w:rsidRPr="00F01E46" w:rsidRDefault="00117344" w:rsidP="00117344">
      <w:pPr>
        <w:pStyle w:val="3GPPHeader"/>
        <w:rPr>
          <w:sz w:val="22"/>
          <w:szCs w:val="22"/>
        </w:rPr>
      </w:pPr>
      <w:r w:rsidRPr="00F01E46">
        <w:rPr>
          <w:sz w:val="22"/>
          <w:szCs w:val="22"/>
        </w:rPr>
        <w:t>Title:</w:t>
      </w:r>
      <w:r w:rsidRPr="00F01E46">
        <w:rPr>
          <w:sz w:val="22"/>
          <w:szCs w:val="22"/>
        </w:rPr>
        <w:tab/>
        <w:t xml:space="preserve">UE capability </w:t>
      </w:r>
      <w:r w:rsidR="00BD1431">
        <w:rPr>
          <w:sz w:val="22"/>
          <w:szCs w:val="22"/>
        </w:rPr>
        <w:t>signalling</w:t>
      </w:r>
      <w:r w:rsidR="00BD1431" w:rsidRPr="00F01E46">
        <w:rPr>
          <w:sz w:val="22"/>
          <w:szCs w:val="22"/>
        </w:rPr>
        <w:t xml:space="preserve"> </w:t>
      </w:r>
      <w:r w:rsidRPr="00F01E46">
        <w:rPr>
          <w:sz w:val="22"/>
          <w:szCs w:val="22"/>
        </w:rPr>
        <w:t>for tight interworking</w:t>
      </w:r>
    </w:p>
    <w:p w14:paraId="6352F631" w14:textId="77777777" w:rsidR="00117344" w:rsidRPr="0006063C" w:rsidRDefault="00117344" w:rsidP="0006063C">
      <w:pPr>
        <w:pStyle w:val="3GPPHeader"/>
        <w:rPr>
          <w:sz w:val="22"/>
          <w:szCs w:val="22"/>
        </w:rPr>
      </w:pPr>
      <w:r w:rsidRPr="00F01E46">
        <w:rPr>
          <w:sz w:val="22"/>
          <w:szCs w:val="22"/>
        </w:rPr>
        <w:t>Doc</w:t>
      </w:r>
      <w:r w:rsidR="0006063C">
        <w:rPr>
          <w:sz w:val="22"/>
          <w:szCs w:val="22"/>
        </w:rPr>
        <w:t>ument for:</w:t>
      </w:r>
      <w:r w:rsidR="0006063C">
        <w:rPr>
          <w:sz w:val="22"/>
          <w:szCs w:val="22"/>
        </w:rPr>
        <w:tab/>
        <w:t>Discussion, Decision</w:t>
      </w:r>
    </w:p>
    <w:p w14:paraId="00BBB02A" w14:textId="77777777" w:rsidR="00117344" w:rsidRPr="00F01E46" w:rsidRDefault="00117344" w:rsidP="00117344">
      <w:pPr>
        <w:pStyle w:val="Heading1"/>
      </w:pPr>
      <w:bookmarkStart w:id="1" w:name="_Ref462840072"/>
      <w:r w:rsidRPr="00F01E46">
        <w:t>Introduction</w:t>
      </w:r>
      <w:bookmarkEnd w:id="1"/>
    </w:p>
    <w:p w14:paraId="05269571" w14:textId="3E59DCDC" w:rsidR="00FA5E3B" w:rsidRDefault="00FA5E3B" w:rsidP="00117344">
      <w:pPr>
        <w:pStyle w:val="BodyText"/>
      </w:pPr>
      <w:r>
        <w:t xml:space="preserve">This paper is revision of </w:t>
      </w:r>
      <w:r w:rsidR="000F02CF" w:rsidRPr="000F02CF">
        <w:t xml:space="preserve">R2-1700490. </w:t>
      </w:r>
    </w:p>
    <w:p w14:paraId="3B61E020" w14:textId="343FC327" w:rsidR="00117344" w:rsidRPr="00F01E46" w:rsidRDefault="007633B1" w:rsidP="00117344">
      <w:pPr>
        <w:pStyle w:val="BodyText"/>
      </w:pPr>
      <w:r>
        <w:t xml:space="preserve">In the previous RAN2 </w:t>
      </w:r>
      <w:proofErr w:type="gramStart"/>
      <w:r>
        <w:t>meetings</w:t>
      </w:r>
      <w:proofErr w:type="gramEnd"/>
      <w:r>
        <w:t xml:space="preserve"> some agreements related to NR </w:t>
      </w:r>
      <w:r w:rsidR="00BD1431">
        <w:t>UE capability signalling</w:t>
      </w:r>
      <w:r>
        <w:t xml:space="preserve"> and to UE capability coordination have been reached (see </w:t>
      </w:r>
      <w:r w:rsidR="00FA5E3B">
        <w:t xml:space="preserve">Annex </w:t>
      </w:r>
      <w:r>
        <w:t>for a summary).</w:t>
      </w:r>
    </w:p>
    <w:p w14:paraId="392C1C16" w14:textId="2D116B14" w:rsidR="00F30990" w:rsidRDefault="00117344" w:rsidP="00117344">
      <w:pPr>
        <w:pStyle w:val="BodyText"/>
        <w:rPr>
          <w:lang w:eastAsia="en-US"/>
        </w:rPr>
      </w:pPr>
      <w:r w:rsidRPr="00F01E46">
        <w:t xml:space="preserve">In this </w:t>
      </w:r>
      <w:proofErr w:type="gramStart"/>
      <w:r w:rsidRPr="00F01E46">
        <w:t>paper</w:t>
      </w:r>
      <w:proofErr w:type="gramEnd"/>
      <w:r w:rsidRPr="00F01E46">
        <w:t xml:space="preserve"> we discuss UE capability </w:t>
      </w:r>
      <w:r w:rsidR="00BD1431">
        <w:t>signalling</w:t>
      </w:r>
      <w:r w:rsidR="00EA0BD0">
        <w:t xml:space="preserve"> for tight interworking, with focus on aspects that should be completed during the study item phase</w:t>
      </w:r>
      <w:r w:rsidR="00F30990">
        <w:t xml:space="preserve">, i.e., </w:t>
      </w:r>
      <w:r w:rsidR="00EE0609">
        <w:rPr>
          <w:lang w:eastAsia="en-US"/>
        </w:rPr>
        <w:t xml:space="preserve">some high level principles for the capability coordination. </w:t>
      </w:r>
    </w:p>
    <w:p w14:paraId="3792072D" w14:textId="75FFF9B1" w:rsidR="00117344" w:rsidRPr="00F01E46" w:rsidRDefault="00EE0609" w:rsidP="00117344">
      <w:pPr>
        <w:pStyle w:val="BodyText"/>
      </w:pPr>
      <w:r>
        <w:rPr>
          <w:lang w:eastAsia="en-US"/>
        </w:rPr>
        <w:t xml:space="preserve">Then we should first focus on how capability signalling in NR can be improved </w:t>
      </w:r>
      <w:r w:rsidR="007633B1">
        <w:rPr>
          <w:lang w:eastAsia="en-US"/>
        </w:rPr>
        <w:t xml:space="preserve">compared to </w:t>
      </w:r>
      <w:r>
        <w:rPr>
          <w:lang w:eastAsia="en-US"/>
        </w:rPr>
        <w:t>LTE</w:t>
      </w:r>
      <w:r w:rsidR="007633B1">
        <w:rPr>
          <w:lang w:eastAsia="en-US"/>
        </w:rPr>
        <w:t>, i.e., to reduce the size of the capability structure preferably without affecting the granularity at which UEs can report their capabilities</w:t>
      </w:r>
      <w:r>
        <w:rPr>
          <w:lang w:eastAsia="en-US"/>
        </w:rPr>
        <w:t xml:space="preserve">. </w:t>
      </w:r>
      <w:r w:rsidR="00F30990">
        <w:rPr>
          <w:lang w:eastAsia="en-US"/>
        </w:rPr>
        <w:t xml:space="preserve">Once the NR capability signalling structure </w:t>
      </w:r>
      <w:r>
        <w:rPr>
          <w:lang w:eastAsia="en-US"/>
        </w:rPr>
        <w:t xml:space="preserve">is in place, we can look at how the coordination with LTE is to </w:t>
      </w:r>
      <w:proofErr w:type="gramStart"/>
      <w:r>
        <w:rPr>
          <w:lang w:eastAsia="en-US"/>
        </w:rPr>
        <w:t>be done</w:t>
      </w:r>
      <w:proofErr w:type="gramEnd"/>
      <w:r>
        <w:rPr>
          <w:lang w:eastAsia="en-US"/>
        </w:rPr>
        <w:t>. If we do it the other way around, i.e. design the coordination first, we may found ourselves stuck in the complex structures of LTE also in NR.</w:t>
      </w:r>
    </w:p>
    <w:p w14:paraId="782A231C" w14:textId="5DAD1120" w:rsidR="00117344" w:rsidRDefault="006859DD" w:rsidP="00117344">
      <w:pPr>
        <w:pStyle w:val="Heading1"/>
      </w:pPr>
      <w:r>
        <w:t>Background</w:t>
      </w:r>
    </w:p>
    <w:p w14:paraId="0391DA3E" w14:textId="77777777" w:rsidR="008E4DCD" w:rsidRDefault="008E4DCD" w:rsidP="008E4DCD">
      <w:pPr>
        <w:pStyle w:val="Heading2"/>
      </w:pPr>
      <w:r w:rsidRPr="00F01E46">
        <w:t>Capability coordination in LTE DC</w:t>
      </w:r>
    </w:p>
    <w:p w14:paraId="0D6E33C0" w14:textId="77777777" w:rsidR="008E4DCD" w:rsidRPr="00F01E46" w:rsidRDefault="008E4DCD" w:rsidP="008E4DCD">
      <w:pPr>
        <w:pStyle w:val="BodyText"/>
      </w:pPr>
      <w:r>
        <w:t xml:space="preserve">The procedure for </w:t>
      </w:r>
      <w:proofErr w:type="spellStart"/>
      <w:r>
        <w:t>SeNB</w:t>
      </w:r>
      <w:proofErr w:type="spellEnd"/>
      <w:r>
        <w:t xml:space="preserve"> addition in LTE DC </w:t>
      </w:r>
      <w:proofErr w:type="gramStart"/>
      <w:r>
        <w:t>is shown</w:t>
      </w:r>
      <w:proofErr w:type="gramEnd"/>
      <w:r>
        <w:t xml:space="preserve"> in Figure 1 </w:t>
      </w:r>
      <w:r>
        <w:fldChar w:fldCharType="begin"/>
      </w:r>
      <w:r>
        <w:instrText xml:space="preserve"> REF _Ref462816198 \n \h </w:instrText>
      </w:r>
      <w:r>
        <w:fldChar w:fldCharType="separate"/>
      </w:r>
      <w:r w:rsidR="007C1B67">
        <w:t>[1]</w:t>
      </w:r>
      <w:r>
        <w:fldChar w:fldCharType="end"/>
      </w:r>
      <w:r>
        <w:t xml:space="preserve">. UE capability coordination in LTE DC </w:t>
      </w:r>
      <w:proofErr w:type="gramStart"/>
      <w:r>
        <w:t>is based</w:t>
      </w:r>
      <w:proofErr w:type="gramEnd"/>
      <w:r>
        <w:t xml:space="preserve"> on </w:t>
      </w:r>
      <w:proofErr w:type="spellStart"/>
      <w:r>
        <w:t>MeNB</w:t>
      </w:r>
      <w:proofErr w:type="spellEnd"/>
      <w:r>
        <w:t xml:space="preserve"> providing</w:t>
      </w:r>
      <w:r w:rsidRPr="00F01E46">
        <w:t xml:space="preserve"> </w:t>
      </w:r>
      <w:proofErr w:type="spellStart"/>
      <w:r w:rsidRPr="00F01E46">
        <w:t>SeNB</w:t>
      </w:r>
      <w:proofErr w:type="spellEnd"/>
      <w:r w:rsidRPr="00F01E46">
        <w:t xml:space="preserve"> with the complete set of UE capabilities and the MCG configuration</w:t>
      </w:r>
      <w:r>
        <w:t xml:space="preserve"> in SCG-</w:t>
      </w:r>
      <w:proofErr w:type="spellStart"/>
      <w:r>
        <w:t>ConfigInfo</w:t>
      </w:r>
      <w:proofErr w:type="spellEnd"/>
      <w:r>
        <w:t xml:space="preserve"> in the </w:t>
      </w:r>
      <w:proofErr w:type="spellStart"/>
      <w:r>
        <w:t>SeNB</w:t>
      </w:r>
      <w:proofErr w:type="spellEnd"/>
      <w:r>
        <w:t xml:space="preserve"> Addition Request message, which initiates the procedure. </w:t>
      </w:r>
      <w:r w:rsidRPr="00F01E46">
        <w:t>From the</w:t>
      </w:r>
      <w:r>
        <w:t xml:space="preserve"> MCG</w:t>
      </w:r>
      <w:r w:rsidRPr="00F01E46">
        <w:t xml:space="preserve"> configuration and </w:t>
      </w:r>
      <w:r>
        <w:t xml:space="preserve">UE </w:t>
      </w:r>
      <w:r w:rsidRPr="00F01E46">
        <w:t xml:space="preserve">capabilities, the </w:t>
      </w:r>
      <w:proofErr w:type="spellStart"/>
      <w:r w:rsidRPr="00F01E46">
        <w:t>SeNB</w:t>
      </w:r>
      <w:proofErr w:type="spellEnd"/>
      <w:r w:rsidRPr="00F01E46">
        <w:t xml:space="preserve"> </w:t>
      </w:r>
      <w:r>
        <w:t>can derive</w:t>
      </w:r>
      <w:r w:rsidRPr="00F01E46">
        <w:t xml:space="preserve"> </w:t>
      </w:r>
      <w:r>
        <w:t xml:space="preserve">an SCG configuration that combined with the MCG configuration complies with the UE capabilities. The </w:t>
      </w:r>
      <w:proofErr w:type="spellStart"/>
      <w:r>
        <w:t>SeNB</w:t>
      </w:r>
      <w:proofErr w:type="spellEnd"/>
      <w:r>
        <w:t xml:space="preserve"> then forwards the SCG configuration in SCG-</w:t>
      </w:r>
      <w:proofErr w:type="spellStart"/>
      <w:r>
        <w:t>Config</w:t>
      </w:r>
      <w:proofErr w:type="spellEnd"/>
      <w:r>
        <w:t xml:space="preserve"> in the </w:t>
      </w:r>
      <w:proofErr w:type="spellStart"/>
      <w:r>
        <w:t>SeNB</w:t>
      </w:r>
      <w:proofErr w:type="spellEnd"/>
      <w:r>
        <w:t xml:space="preserve"> Addition Request Acknowledge message back to the </w:t>
      </w:r>
      <w:proofErr w:type="spellStart"/>
      <w:r>
        <w:t>MeNB</w:t>
      </w:r>
      <w:proofErr w:type="spellEnd"/>
      <w:r>
        <w:t xml:space="preserve">. Based on this the </w:t>
      </w:r>
      <w:proofErr w:type="spellStart"/>
      <w:r>
        <w:t>MeNB</w:t>
      </w:r>
      <w:proofErr w:type="spellEnd"/>
      <w:r>
        <w:t xml:space="preserve"> can verify valid UE configuration and possibly update the MCG configuration. Finally, the </w:t>
      </w:r>
      <w:proofErr w:type="spellStart"/>
      <w:r>
        <w:t>MeNB</w:t>
      </w:r>
      <w:proofErr w:type="spellEnd"/>
      <w:r>
        <w:t xml:space="preserve"> includes both MCG and SCG configurations in the </w:t>
      </w:r>
      <w:proofErr w:type="spellStart"/>
      <w:r>
        <w:t>RRCConnectionReconfiguration</w:t>
      </w:r>
      <w:proofErr w:type="spellEnd"/>
      <w:r>
        <w:t xml:space="preserve"> message, which </w:t>
      </w:r>
      <w:proofErr w:type="gramStart"/>
      <w:r>
        <w:t>is then forwarded</w:t>
      </w:r>
      <w:proofErr w:type="gramEnd"/>
      <w:r>
        <w:t xml:space="preserve"> to the UE. </w:t>
      </w:r>
    </w:p>
    <w:p w14:paraId="57C3FB34" w14:textId="77777777" w:rsidR="008E4DCD" w:rsidRPr="00F01E46" w:rsidRDefault="008E4DCD" w:rsidP="008E4DCD">
      <w:pPr>
        <w:jc w:val="center"/>
      </w:pPr>
      <w:r>
        <w:object w:dxaOrig="6030" w:dyaOrig="3705" w14:anchorId="3C8C3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75pt;height:185.25pt" o:ole="">
            <v:imagedata r:id="rId15" o:title=""/>
          </v:shape>
          <o:OLEObject Type="Embed" ProgID="Visio.Drawing.15" ShapeID="_x0000_i1025" DrawAspect="Content" ObjectID="_1547680827" r:id="rId16"/>
        </w:object>
      </w:r>
    </w:p>
    <w:p w14:paraId="1488EB69" w14:textId="77777777" w:rsidR="008E4DCD" w:rsidRPr="00F01E46" w:rsidRDefault="008E4DCD" w:rsidP="008E4DCD">
      <w:pPr>
        <w:pStyle w:val="Caption"/>
      </w:pPr>
      <w:bookmarkStart w:id="2" w:name="_Ref462839995"/>
      <w:r>
        <w:t xml:space="preserve">Figure </w:t>
      </w:r>
      <w:r>
        <w:fldChar w:fldCharType="begin"/>
      </w:r>
      <w:r>
        <w:instrText xml:space="preserve"> SEQ Figure \* ARABIC </w:instrText>
      </w:r>
      <w:r>
        <w:fldChar w:fldCharType="separate"/>
      </w:r>
      <w:r w:rsidR="007C1B67">
        <w:rPr>
          <w:noProof/>
        </w:rPr>
        <w:t>1</w:t>
      </w:r>
      <w:r>
        <w:fldChar w:fldCharType="end"/>
      </w:r>
      <w:bookmarkEnd w:id="2"/>
      <w:r>
        <w:t xml:space="preserve">: </w:t>
      </w:r>
      <w:proofErr w:type="spellStart"/>
      <w:r>
        <w:t>SeNB</w:t>
      </w:r>
      <w:proofErr w:type="spellEnd"/>
      <w:r>
        <w:t xml:space="preserve"> addition procedure in LTE DC</w:t>
      </w:r>
    </w:p>
    <w:p w14:paraId="1AA30CC1" w14:textId="6F10CBEC" w:rsidR="006859DD" w:rsidRDefault="006859DD" w:rsidP="00FA5E3B">
      <w:pPr>
        <w:pStyle w:val="Heading1"/>
      </w:pPr>
      <w:r w:rsidRPr="00F01E46">
        <w:t>Discussion</w:t>
      </w:r>
    </w:p>
    <w:p w14:paraId="63BBD5BD" w14:textId="089A184E" w:rsidR="008E4DCD" w:rsidRPr="00F01E46" w:rsidRDefault="008E4DCD" w:rsidP="008E4DCD">
      <w:pPr>
        <w:pStyle w:val="Heading2"/>
      </w:pPr>
      <w:r w:rsidRPr="00F01E46">
        <w:t>Capability coordination for LTE-NR tight interworking</w:t>
      </w:r>
    </w:p>
    <w:p w14:paraId="38038F26" w14:textId="77777777" w:rsidR="008E4DCD" w:rsidRDefault="008E4DCD" w:rsidP="008E4DCD">
      <w:r>
        <w:t xml:space="preserve">In LTE, </w:t>
      </w:r>
      <w:r>
        <w:rPr>
          <w:lang w:val="en-US"/>
        </w:rPr>
        <w:t>the UE provides its full capabilities</w:t>
      </w:r>
      <w:r w:rsidR="000E6768">
        <w:rPr>
          <w:lang w:val="en-US"/>
        </w:rPr>
        <w:t xml:space="preserve"> according to network request</w:t>
      </w:r>
      <w:r w:rsidR="00792FE2">
        <w:rPr>
          <w:lang w:val="en-US"/>
        </w:rPr>
        <w:t xml:space="preserve">, </w:t>
      </w:r>
      <w:r>
        <w:rPr>
          <w:lang w:val="en-US"/>
        </w:rPr>
        <w:t xml:space="preserve">upon which the network configures the UE in line with those capabilities. As explained and proposed in </w:t>
      </w:r>
      <w:r>
        <w:rPr>
          <w:lang w:val="en-US"/>
        </w:rPr>
        <w:fldChar w:fldCharType="begin"/>
      </w:r>
      <w:r>
        <w:rPr>
          <w:lang w:val="en-US"/>
        </w:rPr>
        <w:instrText xml:space="preserve"> REF _Ref462818682 \n \h </w:instrText>
      </w:r>
      <w:r>
        <w:rPr>
          <w:lang w:val="en-US"/>
        </w:rPr>
      </w:r>
      <w:r>
        <w:rPr>
          <w:lang w:val="en-US"/>
        </w:rPr>
        <w:fldChar w:fldCharType="separate"/>
      </w:r>
      <w:r w:rsidR="007C1B67">
        <w:rPr>
          <w:lang w:val="en-US"/>
        </w:rPr>
        <w:t>[2]</w:t>
      </w:r>
      <w:r>
        <w:rPr>
          <w:lang w:val="en-US"/>
        </w:rPr>
        <w:fldChar w:fldCharType="end"/>
      </w:r>
      <w:r>
        <w:rPr>
          <w:lang w:val="en-US"/>
        </w:rPr>
        <w:t xml:space="preserve">, we think this principle </w:t>
      </w:r>
      <w:proofErr w:type="gramStart"/>
      <w:r>
        <w:rPr>
          <w:lang w:val="en-US"/>
        </w:rPr>
        <w:t>should be followed</w:t>
      </w:r>
      <w:proofErr w:type="gramEnd"/>
      <w:r>
        <w:rPr>
          <w:lang w:val="en-US"/>
        </w:rPr>
        <w:t xml:space="preserve"> also in NR. It does involve a considerable amount of time to discuss and design the capability signaling, but we consider it inevitable to ensure UE and network interoperability, support UEs and networks with different feature sets and to enable device testing. We consider these characteristics as key contributors for the success of 3GPP systems and should </w:t>
      </w:r>
      <w:proofErr w:type="gramStart"/>
      <w:r>
        <w:rPr>
          <w:lang w:val="en-US"/>
        </w:rPr>
        <w:t>hence also</w:t>
      </w:r>
      <w:proofErr w:type="gramEnd"/>
      <w:r>
        <w:rPr>
          <w:lang w:val="en-US"/>
        </w:rPr>
        <w:t xml:space="preserve"> be applicable to NR.</w:t>
      </w:r>
    </w:p>
    <w:p w14:paraId="7B977653" w14:textId="77777777" w:rsidR="008E4DCD" w:rsidRDefault="008E4DCD" w:rsidP="008E4DCD">
      <w:r>
        <w:t xml:space="preserve">We think that for the same reasons, this principle </w:t>
      </w:r>
      <w:proofErr w:type="gramStart"/>
      <w:r>
        <w:t>should also be applied</w:t>
      </w:r>
      <w:proofErr w:type="gramEnd"/>
      <w:r>
        <w:t xml:space="preserve"> to the case of LTE-NR interworking. Thus, we make the following proposal:</w:t>
      </w:r>
    </w:p>
    <w:p w14:paraId="7CA33FF7" w14:textId="77777777" w:rsidR="00F53619" w:rsidRDefault="008E4DCD" w:rsidP="00C90A84">
      <w:pPr>
        <w:pStyle w:val="Proposal"/>
      </w:pPr>
      <w:bookmarkStart w:id="3" w:name="_Toc462737333"/>
      <w:bookmarkStart w:id="4" w:name="_Toc462737371"/>
      <w:bookmarkStart w:id="5" w:name="_Toc462852104"/>
      <w:bookmarkStart w:id="6" w:name="_Toc462854253"/>
      <w:bookmarkStart w:id="7" w:name="_Toc462867224"/>
      <w:bookmarkStart w:id="8" w:name="_Toc462867739"/>
      <w:bookmarkStart w:id="9" w:name="_Toc462869059"/>
      <w:bookmarkStart w:id="10" w:name="_Toc462869555"/>
      <w:bookmarkStart w:id="11" w:name="_Toc463036737"/>
      <w:bookmarkStart w:id="12" w:name="_Toc465673850"/>
      <w:bookmarkStart w:id="13" w:name="_Toc465974010"/>
      <w:bookmarkStart w:id="14" w:name="_Toc465974036"/>
      <w:bookmarkStart w:id="15" w:name="_Toc466070420"/>
      <w:bookmarkStart w:id="16" w:name="_Toc469398879"/>
      <w:bookmarkStart w:id="17" w:name="_Toc471166791"/>
      <w:bookmarkStart w:id="18" w:name="_Toc471517909"/>
      <w:bookmarkStart w:id="19" w:name="_Toc471521062"/>
      <w:bookmarkStart w:id="20" w:name="_Toc473833407"/>
      <w:bookmarkStart w:id="21" w:name="_Toc473833556"/>
      <w:bookmarkStart w:id="22" w:name="_Toc473906602"/>
      <w:r>
        <w:t xml:space="preserve">The main principle that UE signals its full capability upon which network configures the UE </w:t>
      </w:r>
      <w:proofErr w:type="gramStart"/>
      <w:r>
        <w:t>should be maintained</w:t>
      </w:r>
      <w:proofErr w:type="gramEnd"/>
      <w:r>
        <w:t xml:space="preserve"> also for LTE-NR tight interworking.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DD9E3A3" w14:textId="77777777" w:rsidR="00FB7976" w:rsidRDefault="00FB7976" w:rsidP="00FB7976">
      <w:pPr>
        <w:pStyle w:val="Heading2"/>
      </w:pPr>
      <w:bookmarkStart w:id="23" w:name="_Ref471161924"/>
      <w:r>
        <w:t>UE capability signalling</w:t>
      </w:r>
      <w:bookmarkEnd w:id="23"/>
    </w:p>
    <w:p w14:paraId="4AFEB643" w14:textId="77777777" w:rsidR="00B87B8E" w:rsidRDefault="00B87B8E" w:rsidP="00C27D9E">
      <w:pPr>
        <w:pStyle w:val="BodyText"/>
      </w:pPr>
      <w:r w:rsidRPr="00F53619">
        <w:t xml:space="preserve">RAN2 has agreed that </w:t>
      </w:r>
      <w:r w:rsidR="004235E5">
        <w:t xml:space="preserve">UE </w:t>
      </w:r>
      <w:r w:rsidRPr="00F53619">
        <w:t xml:space="preserve">capability reporting </w:t>
      </w:r>
      <w:proofErr w:type="gramStart"/>
      <w:r w:rsidRPr="00F53619">
        <w:t>should be kept</w:t>
      </w:r>
      <w:proofErr w:type="gramEnd"/>
      <w:r w:rsidRPr="00F53619">
        <w:t xml:space="preserve"> independent between the RATs</w:t>
      </w:r>
      <w:r>
        <w:t xml:space="preserve">. This means that master and secondary nodes only need to use UE capabilities of the own RAT, which will include some </w:t>
      </w:r>
      <w:r w:rsidRPr="00A22EC0">
        <w:t xml:space="preserve">other RAT </w:t>
      </w:r>
      <w:r>
        <w:t xml:space="preserve">capabilities relating to the interworking, e.g. IRAT measurement capabilities. Furthermore, it </w:t>
      </w:r>
      <w:proofErr w:type="gramStart"/>
      <w:r>
        <w:t>has been agreed</w:t>
      </w:r>
      <w:proofErr w:type="gramEnd"/>
      <w:r>
        <w:t xml:space="preserve"> to minimize the differences between the NR capability reporting across the LTE/NR tight interworking cases</w:t>
      </w:r>
      <w:r w:rsidR="00CF5BDB">
        <w:t xml:space="preserve">, i.e. when NR or LTE acts as master. </w:t>
      </w:r>
    </w:p>
    <w:p w14:paraId="28A2FE36" w14:textId="77777777" w:rsidR="00CF5BDB" w:rsidRDefault="00CF5BDB" w:rsidP="00C27D9E">
      <w:pPr>
        <w:pStyle w:val="BodyText"/>
      </w:pPr>
      <w:r>
        <w:t xml:space="preserve">It seems straightforward that one way to fulfil these requirements is to follow the same principle of </w:t>
      </w:r>
      <w:r w:rsidR="009A6B9A">
        <w:t>RAT</w:t>
      </w:r>
      <w:r>
        <w:t xml:space="preserve"> capability containers as is currently used in LTE, see capability structure below. </w:t>
      </w:r>
      <w:r w:rsidR="009A6B9A">
        <w:t>In LTE</w:t>
      </w:r>
      <w:r w:rsidR="00FA05B6">
        <w:t>,</w:t>
      </w:r>
      <w:r w:rsidR="009A6B9A">
        <w:t xml:space="preserve"> the message </w:t>
      </w:r>
      <w:proofErr w:type="spellStart"/>
      <w:r w:rsidR="009A6B9A" w:rsidRPr="00FE36BE">
        <w:rPr>
          <w:i/>
          <w:iCs/>
          <w:lang w:val="en-US"/>
        </w:rPr>
        <w:t>UECapabilityInformation</w:t>
      </w:r>
      <w:proofErr w:type="spellEnd"/>
      <w:r w:rsidR="00FA05B6">
        <w:t xml:space="preserve"> contains the Information E</w:t>
      </w:r>
      <w:r w:rsidR="009A6B9A">
        <w:t xml:space="preserve">lement </w:t>
      </w:r>
      <w:r w:rsidR="00FA05B6">
        <w:rPr>
          <w:i/>
          <w:iCs/>
          <w:lang w:val="en-US"/>
        </w:rPr>
        <w:t>UE</w:t>
      </w:r>
      <w:r w:rsidR="009A6B9A" w:rsidRPr="00FE36BE">
        <w:rPr>
          <w:i/>
          <w:iCs/>
          <w:lang w:val="en-US"/>
        </w:rPr>
        <w:t>-</w:t>
      </w:r>
      <w:proofErr w:type="spellStart"/>
      <w:r w:rsidR="009A6B9A" w:rsidRPr="00FE36BE">
        <w:rPr>
          <w:i/>
          <w:iCs/>
          <w:lang w:val="en-US"/>
        </w:rPr>
        <w:t>CapabilityRAT</w:t>
      </w:r>
      <w:proofErr w:type="spellEnd"/>
      <w:r w:rsidR="009A6B9A" w:rsidRPr="00FE36BE">
        <w:rPr>
          <w:i/>
          <w:iCs/>
          <w:lang w:val="en-US"/>
        </w:rPr>
        <w:t>-</w:t>
      </w:r>
      <w:proofErr w:type="spellStart"/>
      <w:proofErr w:type="gramStart"/>
      <w:r w:rsidR="009A6B9A" w:rsidRPr="00FE36BE">
        <w:rPr>
          <w:i/>
          <w:iCs/>
          <w:lang w:val="en-US"/>
        </w:rPr>
        <w:t>ContainerList</w:t>
      </w:r>
      <w:proofErr w:type="spellEnd"/>
      <w:r w:rsidR="009A6B9A">
        <w:t>,</w:t>
      </w:r>
      <w:proofErr w:type="gramEnd"/>
      <w:r w:rsidR="009A6B9A">
        <w:t xml:space="preserve"> including the capabilities for each RAT is included in separate containers, see ASN.1 structure below. </w:t>
      </w:r>
      <w:r>
        <w:t xml:space="preserve"> </w:t>
      </w:r>
    </w:p>
    <w:p w14:paraId="0FFF173E" w14:textId="77777777" w:rsidR="009A6B9A" w:rsidRDefault="009A6B9A" w:rsidP="009A6B9A">
      <w:pPr>
        <w:pStyle w:val="PL"/>
        <w:shd w:val="clear" w:color="auto" w:fill="E6E6E6"/>
      </w:pPr>
      <w:r>
        <w:t>-- ASN1STA</w:t>
      </w:r>
      <w:smartTag w:uri="urn:schemas-microsoft-com:office:smarttags" w:element="PersonName">
        <w:r>
          <w:t>RT</w:t>
        </w:r>
      </w:smartTag>
    </w:p>
    <w:p w14:paraId="482B4CC9" w14:textId="77777777" w:rsidR="009A6B9A" w:rsidRDefault="009A6B9A" w:rsidP="009A6B9A">
      <w:pPr>
        <w:pStyle w:val="PL"/>
        <w:shd w:val="clear" w:color="auto" w:fill="E6E6E6"/>
      </w:pPr>
    </w:p>
    <w:p w14:paraId="402D9BC1" w14:textId="77777777" w:rsidR="009A6B9A" w:rsidRDefault="009A6B9A" w:rsidP="009A6B9A">
      <w:pPr>
        <w:pStyle w:val="PL"/>
        <w:shd w:val="clear" w:color="auto" w:fill="E6E6E6"/>
      </w:pPr>
      <w:r>
        <w:t>UE-CapabilityRAT-ContainerList ::=SEQUENCE (SIZE (0..maxRAT-Capabilities)) OF UE-CapabilityRAT-Container</w:t>
      </w:r>
    </w:p>
    <w:p w14:paraId="30BD01B2" w14:textId="77777777" w:rsidR="009A6B9A" w:rsidRDefault="009A6B9A" w:rsidP="009A6B9A">
      <w:pPr>
        <w:pStyle w:val="PL"/>
        <w:shd w:val="clear" w:color="auto" w:fill="E6E6E6"/>
      </w:pPr>
    </w:p>
    <w:p w14:paraId="5DF6E78C" w14:textId="77777777" w:rsidR="009A6B9A" w:rsidRDefault="009A6B9A" w:rsidP="009A6B9A">
      <w:pPr>
        <w:pStyle w:val="PL"/>
        <w:shd w:val="clear" w:color="auto" w:fill="E6E6E6"/>
      </w:pPr>
      <w:r>
        <w:t>UE-CapabilityRAT-Container ::= SEQUENCE {</w:t>
      </w:r>
    </w:p>
    <w:p w14:paraId="641DD68D" w14:textId="77777777" w:rsidR="009A6B9A" w:rsidRDefault="009A6B9A" w:rsidP="009A6B9A">
      <w:pPr>
        <w:pStyle w:val="PL"/>
        <w:shd w:val="clear" w:color="auto" w:fill="E6E6E6"/>
      </w:pPr>
      <w:r>
        <w:tab/>
        <w:t>rat-Type</w:t>
      </w:r>
      <w:r>
        <w:tab/>
      </w:r>
      <w:r>
        <w:tab/>
      </w:r>
      <w:r>
        <w:tab/>
      </w:r>
      <w:r>
        <w:tab/>
      </w:r>
      <w:r>
        <w:tab/>
      </w:r>
      <w:r>
        <w:tab/>
      </w:r>
      <w:r>
        <w:tab/>
        <w:t>RAT-Type,</w:t>
      </w:r>
    </w:p>
    <w:p w14:paraId="67BCC041" w14:textId="77777777" w:rsidR="009A6B9A" w:rsidRDefault="009A6B9A" w:rsidP="009A6B9A">
      <w:pPr>
        <w:pStyle w:val="PL"/>
        <w:shd w:val="clear" w:color="auto" w:fill="E6E6E6"/>
      </w:pPr>
      <w:r>
        <w:tab/>
        <w:t>ueCapabilityRAT-Container</w:t>
      </w:r>
      <w:r>
        <w:tab/>
      </w:r>
      <w:r>
        <w:tab/>
      </w:r>
      <w:r>
        <w:tab/>
        <w:t>OCTET STRING</w:t>
      </w:r>
    </w:p>
    <w:p w14:paraId="4F286012" w14:textId="77777777" w:rsidR="009A6B9A" w:rsidRDefault="009A6B9A" w:rsidP="009A6B9A">
      <w:pPr>
        <w:pStyle w:val="PL"/>
        <w:shd w:val="clear" w:color="auto" w:fill="E6E6E6"/>
      </w:pPr>
      <w:r>
        <w:t>}</w:t>
      </w:r>
    </w:p>
    <w:p w14:paraId="5AFA5FF0" w14:textId="77777777" w:rsidR="009A6B9A" w:rsidRDefault="009A6B9A" w:rsidP="009A6B9A">
      <w:pPr>
        <w:pStyle w:val="PL"/>
        <w:shd w:val="clear" w:color="auto" w:fill="E6E6E6"/>
      </w:pPr>
    </w:p>
    <w:p w14:paraId="523F6C61" w14:textId="77777777" w:rsidR="009A6B9A" w:rsidRDefault="009A6B9A" w:rsidP="009A6B9A">
      <w:pPr>
        <w:pStyle w:val="PL"/>
        <w:shd w:val="clear" w:color="auto" w:fill="E6E6E6"/>
      </w:pPr>
      <w:r>
        <w:t>-- ASN1STOP</w:t>
      </w:r>
    </w:p>
    <w:p w14:paraId="662D982F" w14:textId="77777777" w:rsidR="00FA05B6" w:rsidRDefault="00FA05B6" w:rsidP="00C27D9E">
      <w:pPr>
        <w:pStyle w:val="BodyText"/>
      </w:pPr>
    </w:p>
    <w:p w14:paraId="7E341FD5" w14:textId="77777777" w:rsidR="009A6B9A" w:rsidRPr="009E7B0D" w:rsidRDefault="00FA05B6" w:rsidP="00C27D9E">
      <w:pPr>
        <w:pStyle w:val="BodyText"/>
      </w:pPr>
      <w:r>
        <w:rPr>
          <w:lang w:eastAsia="en-GB"/>
        </w:rPr>
        <w:lastRenderedPageBreak/>
        <w:t xml:space="preserve">The encoding of each container in the list is defined in the specification of each RAT. For example, the LTE capabilities are defined in IE </w:t>
      </w:r>
      <w:r>
        <w:rPr>
          <w:i/>
          <w:noProof/>
          <w:lang w:eastAsia="en-GB"/>
        </w:rPr>
        <w:t>UE-EUTRA-Capability</w:t>
      </w:r>
      <w:r>
        <w:rPr>
          <w:lang w:eastAsia="en-GB"/>
        </w:rPr>
        <w:t xml:space="preserve"> of 36.331, whereas the UTRAN capabilities are defined in </w:t>
      </w:r>
      <w:r w:rsidR="009E7B0D">
        <w:t>the</w:t>
      </w:r>
      <w:r w:rsidR="009E7B0D" w:rsidRPr="009E7B0D">
        <w:rPr>
          <w:lang w:eastAsia="en-GB"/>
        </w:rPr>
        <w:t xml:space="preserve"> </w:t>
      </w:r>
      <w:r w:rsidR="009E7B0D">
        <w:rPr>
          <w:lang w:eastAsia="en-GB"/>
        </w:rPr>
        <w:t>INTER RAT HANDOVER INFO message defined in TS 25.331.</w:t>
      </w:r>
    </w:p>
    <w:p w14:paraId="30B629A3" w14:textId="77777777" w:rsidR="00CF5BDB" w:rsidRDefault="009E7B0D" w:rsidP="00C27D9E">
      <w:pPr>
        <w:pStyle w:val="BodyText"/>
      </w:pPr>
      <w:r>
        <w:t>Thus, we make the following proposals:</w:t>
      </w:r>
    </w:p>
    <w:p w14:paraId="57682469" w14:textId="77777777" w:rsidR="00B87B8E" w:rsidRPr="00F01E46" w:rsidRDefault="00A42939" w:rsidP="00B87B8E">
      <w:pPr>
        <w:pStyle w:val="Proposal"/>
      </w:pPr>
      <w:bookmarkStart w:id="24" w:name="_Toc471166792"/>
      <w:bookmarkStart w:id="25" w:name="_Toc471517910"/>
      <w:bookmarkStart w:id="26" w:name="_Toc471521063"/>
      <w:bookmarkStart w:id="27" w:name="_Toc473833408"/>
      <w:bookmarkStart w:id="28" w:name="_Toc473833557"/>
      <w:bookmarkStart w:id="29" w:name="_Toc473906603"/>
      <w:r>
        <w:t>UE c</w:t>
      </w:r>
      <w:r w:rsidR="00C27D9E">
        <w:t>apabilit</w:t>
      </w:r>
      <w:r>
        <w:t>y reporting for LTE-NR tight interworking follows the same principle of IRAT capability reporting in LTE, i.</w:t>
      </w:r>
      <w:r w:rsidR="00C27D9E">
        <w:t>e</w:t>
      </w:r>
      <w:r>
        <w:t>. LTE and NR capabilities are signalled as separate containers in a capability container list.</w:t>
      </w:r>
      <w:bookmarkEnd w:id="24"/>
      <w:bookmarkEnd w:id="25"/>
      <w:bookmarkEnd w:id="26"/>
      <w:bookmarkEnd w:id="27"/>
      <w:bookmarkEnd w:id="28"/>
      <w:bookmarkEnd w:id="29"/>
    </w:p>
    <w:p w14:paraId="5149B3F3" w14:textId="77777777" w:rsidR="006612C0" w:rsidRDefault="006612C0" w:rsidP="006612C0">
      <w:pPr>
        <w:pStyle w:val="Heading2"/>
      </w:pPr>
      <w:r>
        <w:t xml:space="preserve">UE capability </w:t>
      </w:r>
      <w:r w:rsidR="00061812">
        <w:t>categorization</w:t>
      </w:r>
    </w:p>
    <w:p w14:paraId="13894905" w14:textId="77777777" w:rsidR="006612C0" w:rsidRDefault="006612C0" w:rsidP="006612C0">
      <w:r>
        <w:t>In email discussion [NR-AH1#14], the following characterization of capabilities needing coordination were discussed:</w:t>
      </w:r>
    </w:p>
    <w:p w14:paraId="14C31332" w14:textId="38E0682A" w:rsidR="006612C0" w:rsidRPr="006612C0" w:rsidRDefault="006859DD" w:rsidP="006859DD">
      <w:pPr>
        <w:pStyle w:val="B1"/>
      </w:pPr>
      <w:r>
        <w:t>-</w:t>
      </w:r>
      <w:r>
        <w:tab/>
      </w:r>
      <w:r w:rsidR="006612C0" w:rsidRPr="006612C0">
        <w:t xml:space="preserve">TYPE II: The use of the capability in one RAT has impacts to the other RAT, however the use of capability in one RAT is not understood/predictable by the NW side of the other RAT. It is difficult to make coordination based on the actual use of the capability in each RAT at a certain time. </w:t>
      </w:r>
      <w:r w:rsidR="006612C0" w:rsidRPr="006612C0">
        <w:tab/>
      </w:r>
    </w:p>
    <w:p w14:paraId="1AC4187E" w14:textId="7CFD5B98" w:rsidR="00E60C39" w:rsidRPr="00E60C39" w:rsidRDefault="006859DD" w:rsidP="006859DD">
      <w:pPr>
        <w:pStyle w:val="B1"/>
      </w:pPr>
      <w:r>
        <w:t>-</w:t>
      </w:r>
      <w:r>
        <w:tab/>
      </w:r>
      <w:r w:rsidR="006612C0" w:rsidRPr="006612C0">
        <w:t>TYPE III: The use of the capability in one RAT has impact to the other RAT, and the use of capability in one RAT is understood/predictable by the NW side of the other RAT. The capability coordination can be made based on the actual use of the capability in each RAT at a certain time.</w:t>
      </w:r>
    </w:p>
    <w:p w14:paraId="6FEC5D82" w14:textId="77777777" w:rsidR="00E60C39" w:rsidRDefault="00E60C39" w:rsidP="006B17B3">
      <w:pPr>
        <w:rPr>
          <w:lang w:eastAsia="ko-KR"/>
        </w:rPr>
      </w:pPr>
      <w:r>
        <w:rPr>
          <w:lang w:eastAsia="ko-KR"/>
        </w:rPr>
        <w:t xml:space="preserve">Though the above characterization is beneficial to understand the </w:t>
      </w:r>
      <w:r w:rsidR="00ED0EDE">
        <w:rPr>
          <w:lang w:eastAsia="ko-KR"/>
        </w:rPr>
        <w:t>dependency aspect</w:t>
      </w:r>
      <w:r>
        <w:rPr>
          <w:lang w:eastAsia="ko-KR"/>
        </w:rPr>
        <w:t xml:space="preserve"> of capabilities needing coordination, our understanding is that it is not sufficient to discuss coordin</w:t>
      </w:r>
      <w:r w:rsidR="00ED0EDE">
        <w:rPr>
          <w:lang w:eastAsia="ko-KR"/>
        </w:rPr>
        <w:t>ation method based on this coar</w:t>
      </w:r>
      <w:r>
        <w:rPr>
          <w:lang w:eastAsia="ko-KR"/>
        </w:rPr>
        <w:t>s</w:t>
      </w:r>
      <w:r w:rsidR="00ED0EDE">
        <w:rPr>
          <w:lang w:eastAsia="ko-KR"/>
        </w:rPr>
        <w:t>e</w:t>
      </w:r>
      <w:r>
        <w:rPr>
          <w:lang w:eastAsia="ko-KR"/>
        </w:rPr>
        <w:t xml:space="preserve"> categorization. Instead, capability coordination needs to be discussed on a case by case basis for capabilities that need to be coordinated between LTE and NR. </w:t>
      </w:r>
    </w:p>
    <w:p w14:paraId="59CC25DB" w14:textId="77777777" w:rsidR="00E60C39" w:rsidRDefault="00E60C39" w:rsidP="00FA5E3B">
      <w:pPr>
        <w:pStyle w:val="Observation"/>
        <w:rPr>
          <w:lang w:eastAsia="ko-KR"/>
        </w:rPr>
      </w:pPr>
      <w:r>
        <w:rPr>
          <w:lang w:eastAsia="ko-KR"/>
        </w:rPr>
        <w:t>Though the categorization of UE capabilities helps the general understanding</w:t>
      </w:r>
      <w:r w:rsidR="00ED0EDE">
        <w:rPr>
          <w:lang w:eastAsia="ko-KR"/>
        </w:rPr>
        <w:t xml:space="preserve"> of capability dependencies, capability coordination methods need to be discussed on a case by case basis for capabilities requiring coordination.</w:t>
      </w:r>
    </w:p>
    <w:p w14:paraId="6D5DC0CF" w14:textId="31C6DFB8" w:rsidR="006612C0" w:rsidRDefault="00061812" w:rsidP="00061812">
      <w:pPr>
        <w:pStyle w:val="Heading2"/>
      </w:pPr>
      <w:r>
        <w:t xml:space="preserve">UE capability coordination </w:t>
      </w:r>
    </w:p>
    <w:p w14:paraId="40BAC17F" w14:textId="35815575" w:rsidR="00061812" w:rsidRPr="00061812" w:rsidRDefault="00061812" w:rsidP="00061812">
      <w:r>
        <w:t xml:space="preserve">So </w:t>
      </w:r>
      <w:proofErr w:type="gramStart"/>
      <w:r>
        <w:t>far</w:t>
      </w:r>
      <w:proofErr w:type="gramEnd"/>
      <w:r>
        <w:t xml:space="preserve"> RAN2 has agreed that UE capabilities requiring coordination include band combinations across LTE and NR and L2 buffer size. </w:t>
      </w:r>
      <w:proofErr w:type="gramStart"/>
      <w:r>
        <w:t>An LS</w:t>
      </w:r>
      <w:proofErr w:type="gramEnd"/>
      <w:r>
        <w:t xml:space="preserve"> has been sent to RAN1 and RAN4 to get input on further capabilities requiring coordination </w:t>
      </w:r>
      <w:r>
        <w:fldChar w:fldCharType="begin"/>
      </w:r>
      <w:r>
        <w:instrText xml:space="preserve"> REF _Ref471521147 \n \h </w:instrText>
      </w:r>
      <w:r>
        <w:fldChar w:fldCharType="separate"/>
      </w:r>
      <w:r w:rsidR="007C1B67">
        <w:t>[5]</w:t>
      </w:r>
      <w:r>
        <w:fldChar w:fldCharType="end"/>
      </w:r>
      <w:r>
        <w:t>. Until this input is received, discussions in RAN2 can continue on different signalling approaches, based on the current knowledge.</w:t>
      </w:r>
      <w:r w:rsidR="00130C4F">
        <w:t xml:space="preserve"> In the following subsections, we discuss the different capabilities needing coordination and possible classification into type II or type III.</w:t>
      </w:r>
    </w:p>
    <w:p w14:paraId="579DFCE0" w14:textId="77777777" w:rsidR="001418A9" w:rsidRDefault="001418A9" w:rsidP="00061812">
      <w:pPr>
        <w:pStyle w:val="Heading3"/>
      </w:pPr>
      <w:r>
        <w:t>Band combination</w:t>
      </w:r>
    </w:p>
    <w:p w14:paraId="62FB121D" w14:textId="3DB84B83" w:rsidR="000576C4" w:rsidRDefault="001418A9" w:rsidP="00A53961">
      <w:r>
        <w:t xml:space="preserve">Due to limitations in UE RF design, the UE needs to be able to indicate to the network which LTE band combinations </w:t>
      </w:r>
      <w:proofErr w:type="gramStart"/>
      <w:r>
        <w:t>can be configured</w:t>
      </w:r>
      <w:proofErr w:type="gramEnd"/>
      <w:r>
        <w:t xml:space="preserve"> together with which NR band combinations. </w:t>
      </w:r>
      <w:r w:rsidR="007F4528">
        <w:t xml:space="preserve">The selected band combination of MCG and SCG will be included in </w:t>
      </w:r>
      <w:r w:rsidR="007F4528" w:rsidRPr="007F4528">
        <w:t>MCG</w:t>
      </w:r>
      <w:r w:rsidR="007F4528">
        <w:t xml:space="preserve"> </w:t>
      </w:r>
      <w:r w:rsidR="007F4528" w:rsidRPr="007F4528">
        <w:t>configuration and SCG</w:t>
      </w:r>
      <w:r w:rsidR="007F4528">
        <w:t xml:space="preserve"> </w:t>
      </w:r>
      <w:r w:rsidR="007F4528" w:rsidRPr="007F4528">
        <w:t xml:space="preserve">configuration </w:t>
      </w:r>
      <w:r w:rsidR="0015463F">
        <w:t>respectively.</w:t>
      </w:r>
      <w:r w:rsidR="007F4528">
        <w:t xml:space="preserve"> </w:t>
      </w:r>
      <w:r w:rsidR="0015463F">
        <w:t>T</w:t>
      </w:r>
      <w:r w:rsidR="007F4528">
        <w:t>hus</w:t>
      </w:r>
      <w:r w:rsidR="0015463F">
        <w:t>,</w:t>
      </w:r>
      <w:r w:rsidR="007F4528">
        <w:t xml:space="preserve"> f</w:t>
      </w:r>
      <w:r>
        <w:t xml:space="preserve">ollowing the agreement that the master node and the secondary node </w:t>
      </w:r>
      <w:r w:rsidR="007F4528">
        <w:t>are not required to understand each other’s configuration, this capability falls into category type II. I</w:t>
      </w:r>
      <w:r w:rsidR="000576C4">
        <w:t xml:space="preserve">t </w:t>
      </w:r>
      <w:proofErr w:type="gramStart"/>
      <w:r w:rsidR="000576C4">
        <w:t>has been proposed</w:t>
      </w:r>
      <w:proofErr w:type="gramEnd"/>
      <w:r w:rsidR="000576C4">
        <w:t xml:space="preserve"> in </w:t>
      </w:r>
      <w:r w:rsidR="000576C4">
        <w:fldChar w:fldCharType="begin"/>
      </w:r>
      <w:r w:rsidR="000576C4">
        <w:instrText xml:space="preserve"> REF _Ref471164386 \n \h </w:instrText>
      </w:r>
      <w:r w:rsidR="000576C4">
        <w:fldChar w:fldCharType="separate"/>
      </w:r>
      <w:r w:rsidR="007C1B67">
        <w:t>[4]</w:t>
      </w:r>
      <w:r w:rsidR="000576C4">
        <w:fldChar w:fldCharType="end"/>
      </w:r>
      <w:r w:rsidR="007F4528">
        <w:t xml:space="preserve"> to introduce </w:t>
      </w:r>
      <w:r>
        <w:t xml:space="preserve">abstract coordination </w:t>
      </w:r>
      <w:r w:rsidR="007F4528">
        <w:t>for the coordination of band combinations</w:t>
      </w:r>
      <w:r w:rsidR="00C559C2">
        <w:t xml:space="preserve"> based, where </w:t>
      </w:r>
      <w:r w:rsidR="000576C4">
        <w:t xml:space="preserve">a matrix is proposed </w:t>
      </w:r>
      <w:r w:rsidR="00C559C2">
        <w:t xml:space="preserve">to indicate compatible band combinations across the </w:t>
      </w:r>
      <w:r w:rsidR="000576C4">
        <w:t xml:space="preserve">two </w:t>
      </w:r>
      <w:r w:rsidR="00C559C2">
        <w:t>RATs.</w:t>
      </w:r>
      <w:r w:rsidR="00D240A5">
        <w:t xml:space="preserve"> </w:t>
      </w:r>
      <w:r w:rsidR="00C559C2">
        <w:t>A</w:t>
      </w:r>
      <w:r w:rsidR="0015463F">
        <w:t>s</w:t>
      </w:r>
      <w:r w:rsidR="00C559C2">
        <w:t xml:space="preserve"> further</w:t>
      </w:r>
      <w:r w:rsidR="0015463F">
        <w:t xml:space="preserve"> discussed in </w:t>
      </w:r>
      <w:r w:rsidR="00A53961">
        <w:fldChar w:fldCharType="begin"/>
      </w:r>
      <w:r w:rsidR="00A53961">
        <w:instrText xml:space="preserve"> REF _Ref473719944 \n \h </w:instrText>
      </w:r>
      <w:r w:rsidR="00A53961">
        <w:fldChar w:fldCharType="separate"/>
      </w:r>
      <w:r w:rsidR="007C1B67">
        <w:t>[6]</w:t>
      </w:r>
      <w:r w:rsidR="00A53961">
        <w:fldChar w:fldCharType="end"/>
      </w:r>
      <w:r w:rsidR="0015463F">
        <w:t>, there are different approaches how the</w:t>
      </w:r>
      <w:r w:rsidR="00A53961">
        <w:t xml:space="preserve"> abstract coordination</w:t>
      </w:r>
      <w:r w:rsidR="0015463F">
        <w:t xml:space="preserve"> </w:t>
      </w:r>
      <w:proofErr w:type="gramStart"/>
      <w:r w:rsidR="0015463F">
        <w:t>could be implemented</w:t>
      </w:r>
      <w:proofErr w:type="gramEnd"/>
      <w:r w:rsidR="0015463F">
        <w:t xml:space="preserve"> into the specification. In addition to the matrix solution proposed in </w:t>
      </w:r>
      <w:r w:rsidR="000576C4">
        <w:fldChar w:fldCharType="begin"/>
      </w:r>
      <w:r w:rsidR="000576C4">
        <w:instrText xml:space="preserve"> REF _Ref471164386 \n \h </w:instrText>
      </w:r>
      <w:r w:rsidR="000576C4">
        <w:fldChar w:fldCharType="separate"/>
      </w:r>
      <w:r w:rsidR="007C1B67">
        <w:t>[4]</w:t>
      </w:r>
      <w:r w:rsidR="000576C4">
        <w:fldChar w:fldCharType="end"/>
      </w:r>
      <w:r w:rsidR="0015463F">
        <w:t xml:space="preserve">, </w:t>
      </w:r>
      <w:r w:rsidR="00C559C2">
        <w:t xml:space="preserve">another possibility could be to apply </w:t>
      </w:r>
      <w:r w:rsidR="00A53961">
        <w:t xml:space="preserve">similar approach as was selected to indicate LTE DC support. In the LTE capability information specified in LTE spec, the UE would indicate for each supported E-UTRA DC band combination, the </w:t>
      </w:r>
      <w:r w:rsidR="000576C4">
        <w:t>identifier(s)</w:t>
      </w:r>
      <w:r w:rsidR="00A53961">
        <w:t xml:space="preserve"> of the supported NR DC band combination(s) that can be simultaneously configured for each LTE band combination. And vice versa for the NR specification. </w:t>
      </w:r>
    </w:p>
    <w:p w14:paraId="2CBEA2E8" w14:textId="0869726D" w:rsidR="00C26C08" w:rsidRDefault="00ED7904" w:rsidP="00FA5E3B">
      <w:pPr>
        <w:pStyle w:val="Observation"/>
      </w:pPr>
      <w:r>
        <w:t>Important to note however</w:t>
      </w:r>
      <w:r w:rsidR="005B48BD">
        <w:t xml:space="preserve"> is</w:t>
      </w:r>
      <w:r>
        <w:t xml:space="preserve"> that abstract coordination of band combinations based on identifiers represents a simplistic view considering only band combination coordination. In addition, e.g. MIMO and other capabilities are also signalled per band combination, which complicates the structure and coordination further. </w:t>
      </w:r>
      <w:r w:rsidR="00C26C08">
        <w:t xml:space="preserve">Since capabilities for MIMO, CSI-Processes and NAICS were added into the band combination structure, UEs are encouraged to include duplicates of band combination entries that differ only in the support of those features. For the same </w:t>
      </w:r>
      <w:r w:rsidR="00C26C08">
        <w:lastRenderedPageBreak/>
        <w:t xml:space="preserve">reason, LTE UEs include fall-back band combinations even though RAN2 introduced the possibility to omit those. With this in mind, we see a risk that the (generally promising) approach to connect LTE- and NR- band combination tables by a bit-matrix will lead to even more duplication of band combination entries or make it at least more difficult to reduce the size by omitting </w:t>
      </w:r>
      <w:proofErr w:type="spellStart"/>
      <w:r w:rsidR="00C26C08">
        <w:t>fallback</w:t>
      </w:r>
      <w:proofErr w:type="spellEnd"/>
      <w:r w:rsidR="00C26C08">
        <w:t xml:space="preserve"> band combinations. C</w:t>
      </w:r>
      <w:r w:rsidR="00C26C08" w:rsidRPr="00C26C08">
        <w:t>onnect</w:t>
      </w:r>
      <w:r w:rsidR="00C26C08">
        <w:t>ing</w:t>
      </w:r>
      <w:r w:rsidR="00C26C08" w:rsidRPr="00C26C08">
        <w:t xml:space="preserve"> LTE- and NR- band combination tables by a bit</w:t>
      </w:r>
      <w:r w:rsidR="00C26C08">
        <w:t>map</w:t>
      </w:r>
      <w:r w:rsidR="00C26C08" w:rsidRPr="00C26C08">
        <w:t xml:space="preserve"> </w:t>
      </w:r>
      <w:r w:rsidR="003D0B75">
        <w:t xml:space="preserve">may </w:t>
      </w:r>
      <w:r w:rsidR="00C26C08" w:rsidRPr="00C26C08">
        <w:t xml:space="preserve">lead to even more duplication of band combination entries or make it at least more difficult to reduce the size by omitting </w:t>
      </w:r>
      <w:proofErr w:type="spellStart"/>
      <w:r w:rsidR="00C26C08" w:rsidRPr="00C26C08">
        <w:t>fallback</w:t>
      </w:r>
      <w:proofErr w:type="spellEnd"/>
      <w:r w:rsidR="00C26C08" w:rsidRPr="00C26C08">
        <w:t xml:space="preserve"> band combinations.</w:t>
      </w:r>
    </w:p>
    <w:p w14:paraId="7F2BC0CD" w14:textId="28E536CF" w:rsidR="00BF3D05" w:rsidRDefault="00BF3D05" w:rsidP="00C26C08"/>
    <w:p w14:paraId="4C908078" w14:textId="111005F7" w:rsidR="00ED7904" w:rsidRDefault="00ED7904" w:rsidP="00A53961">
      <w:r>
        <w:t xml:space="preserve">Therefore, we think some more work </w:t>
      </w:r>
      <w:r w:rsidR="003D0B75">
        <w:t xml:space="preserve">and careful analysis </w:t>
      </w:r>
      <w:r>
        <w:t xml:space="preserve">is needed on the feasibility of abstract coordination, which needs to be continued during the work item phase. </w:t>
      </w:r>
    </w:p>
    <w:p w14:paraId="5E9D4925" w14:textId="0673031F" w:rsidR="00C559C2" w:rsidRDefault="000576C4" w:rsidP="00C559C2">
      <w:pPr>
        <w:pStyle w:val="Proposal"/>
      </w:pPr>
      <w:bookmarkStart w:id="30" w:name="_Toc473833409"/>
      <w:bookmarkStart w:id="31" w:name="_Toc473833558"/>
      <w:bookmarkStart w:id="32" w:name="_Toc473906604"/>
      <w:r>
        <w:t xml:space="preserve">Feasibility of abstract signalling of band combination support across LTE and NR </w:t>
      </w:r>
      <w:r w:rsidR="00EE0609">
        <w:t>need</w:t>
      </w:r>
      <w:r w:rsidR="00A82374">
        <w:t>s</w:t>
      </w:r>
      <w:r w:rsidR="00EE0609">
        <w:t xml:space="preserve"> to </w:t>
      </w:r>
      <w:r>
        <w:t xml:space="preserve">be </w:t>
      </w:r>
      <w:proofErr w:type="gramStart"/>
      <w:r w:rsidR="005B48BD">
        <w:t>discussed</w:t>
      </w:r>
      <w:proofErr w:type="gramEnd"/>
      <w:r w:rsidR="005B48BD">
        <w:t xml:space="preserve"> </w:t>
      </w:r>
      <w:r w:rsidR="00A82374">
        <w:t xml:space="preserve">and evaluated </w:t>
      </w:r>
      <w:r>
        <w:t>further during the work item phase.</w:t>
      </w:r>
      <w:bookmarkEnd w:id="30"/>
      <w:bookmarkEnd w:id="31"/>
      <w:bookmarkEnd w:id="32"/>
      <w:r>
        <w:t xml:space="preserve"> </w:t>
      </w:r>
    </w:p>
    <w:p w14:paraId="530BEA34" w14:textId="77777777" w:rsidR="00C559C2" w:rsidRDefault="00C559C2" w:rsidP="00C559C2">
      <w:pPr>
        <w:pStyle w:val="Heading4"/>
      </w:pPr>
      <w:r>
        <w:t>Indexing of band combinations</w:t>
      </w:r>
    </w:p>
    <w:p w14:paraId="0B24BDF6" w14:textId="4E6B1A2F" w:rsidR="00C559C2" w:rsidRDefault="00C559C2" w:rsidP="00C559C2">
      <w:r>
        <w:t xml:space="preserve">Abstract coordination of band combinations would benefit from introduction of indexing, so that band combinations in 36.101 </w:t>
      </w:r>
      <w:proofErr w:type="gramStart"/>
      <w:r>
        <w:t>can be referred</w:t>
      </w:r>
      <w:proofErr w:type="gramEnd"/>
      <w:r>
        <w:t xml:space="preserve"> to by single index</w:t>
      </w:r>
      <w:r w:rsidR="00AC5AE5">
        <w:t xml:space="preserve"> rather than by the explicit band numbers and bandwidth combinations</w:t>
      </w:r>
      <w:r>
        <w:t xml:space="preserve">. </w:t>
      </w:r>
      <w:r w:rsidR="00AC5AE5">
        <w:t xml:space="preserve">On the other hand, it is questionable whether RAN4 can continue defining all possible band combinations in tables considering the continuously increasing number of carriers that can be aggregated. </w:t>
      </w:r>
      <w:r>
        <w:t xml:space="preserve">During Rel-13 work, </w:t>
      </w:r>
      <w:proofErr w:type="gramStart"/>
      <w:r>
        <w:t>an LS</w:t>
      </w:r>
      <w:proofErr w:type="gramEnd"/>
      <w:r>
        <w:t xml:space="preserve"> was sent from RAN2 to RAN4 to request feasibility of this </w:t>
      </w:r>
      <w:r>
        <w:fldChar w:fldCharType="begin"/>
      </w:r>
      <w:r>
        <w:instrText xml:space="preserve"> REF _Ref471135629 \r \h </w:instrText>
      </w:r>
      <w:r>
        <w:fldChar w:fldCharType="separate"/>
      </w:r>
      <w:r w:rsidR="007C1B67">
        <w:t>[3]</w:t>
      </w:r>
      <w:r>
        <w:fldChar w:fldCharType="end"/>
      </w:r>
      <w:r>
        <w:t xml:space="preserve">, but there has so far not been any response. In order to support such abstract based coordination of band combination capabilities, it would be good to re-initiate this discussion with RAN4. If the RAN4 band combination table can be designed in a smart way, the indexing solution may be feasible. This could also trigger RAN4 to think of how to specify the LTE-NR DC combinations from 36.101 point of view. </w:t>
      </w:r>
    </w:p>
    <w:p w14:paraId="1B983D84" w14:textId="374A3705" w:rsidR="00C559C2" w:rsidRPr="006612C0" w:rsidRDefault="00C559C2" w:rsidP="00C559C2">
      <w:pPr>
        <w:pStyle w:val="Proposal"/>
      </w:pPr>
      <w:bookmarkStart w:id="33" w:name="_Toc473833410"/>
      <w:bookmarkStart w:id="34" w:name="_Toc473833559"/>
      <w:bookmarkStart w:id="35" w:name="_Toc473906605"/>
      <w:proofErr w:type="gramStart"/>
      <w:r>
        <w:t xml:space="preserve">RAN2 to </w:t>
      </w:r>
      <w:r w:rsidR="00AC5AE5">
        <w:t xml:space="preserve">send a follow-up to </w:t>
      </w:r>
      <w:r>
        <w:t>the Rel-13 LS to RAN4 about indexing of band combinations</w:t>
      </w:r>
      <w:r w:rsidR="00A53961">
        <w:t xml:space="preserve"> </w:t>
      </w:r>
      <w:r w:rsidR="00AC5AE5">
        <w:t xml:space="preserve">including </w:t>
      </w:r>
      <w:r w:rsidR="00A53961">
        <w:t>the case of LTE-NR interworking</w:t>
      </w:r>
      <w:r>
        <w:t>.</w:t>
      </w:r>
      <w:bookmarkEnd w:id="33"/>
      <w:bookmarkEnd w:id="34"/>
      <w:bookmarkEnd w:id="35"/>
      <w:proofErr w:type="gramEnd"/>
    </w:p>
    <w:p w14:paraId="3A7CBECE" w14:textId="77777777" w:rsidR="0015463F" w:rsidRDefault="0015463F" w:rsidP="00A53961">
      <w:pPr>
        <w:pStyle w:val="Heading4"/>
      </w:pPr>
      <w:r>
        <w:t>Band combination dependent features, e.g. MIMO</w:t>
      </w:r>
    </w:p>
    <w:p w14:paraId="5EB0B41C" w14:textId="77777777" w:rsidR="0015463F" w:rsidRDefault="00ED7904" w:rsidP="0015463F">
      <w:pPr>
        <w:pStyle w:val="BodyText"/>
      </w:pPr>
      <w:r>
        <w:t>As mentioned above, o</w:t>
      </w:r>
      <w:r w:rsidR="000576C4">
        <w:t xml:space="preserve">ne important aspect that has not been </w:t>
      </w:r>
      <w:r>
        <w:t xml:space="preserve">discussed so far is how to handle the coordination of band combination dependent features, like MIMO and the number of supported CSI processes. </w:t>
      </w:r>
      <w:r w:rsidR="0015463F">
        <w:t>One approach that could help here would be to discuss a reduction of the UE capability structure, to reduce</w:t>
      </w:r>
      <w:r w:rsidR="0015463F" w:rsidRPr="000922D8">
        <w:t xml:space="preserve"> the number of capabilities repeated per band combination</w:t>
      </w:r>
      <w:r w:rsidR="0015463F">
        <w:t xml:space="preserve">, as proposed in </w:t>
      </w:r>
      <w:r w:rsidR="0015463F">
        <w:fldChar w:fldCharType="begin"/>
      </w:r>
      <w:r w:rsidR="0015463F">
        <w:instrText xml:space="preserve"> REF _Ref471519296 \n \h </w:instrText>
      </w:r>
      <w:r w:rsidR="0015463F">
        <w:fldChar w:fldCharType="separate"/>
      </w:r>
      <w:r w:rsidR="007C1B67">
        <w:t>[2]</w:t>
      </w:r>
      <w:r w:rsidR="0015463F">
        <w:fldChar w:fldCharType="end"/>
      </w:r>
      <w:r w:rsidR="0015463F">
        <w:t>.</w:t>
      </w:r>
    </w:p>
    <w:p w14:paraId="3BFA76C1" w14:textId="77777777" w:rsidR="00A53961" w:rsidRPr="006612C0" w:rsidRDefault="00A53961" w:rsidP="00A53961">
      <w:pPr>
        <w:pStyle w:val="Proposal"/>
      </w:pPr>
      <w:bookmarkStart w:id="36" w:name="_Toc473833411"/>
      <w:bookmarkStart w:id="37" w:name="_Toc473833560"/>
      <w:bookmarkStart w:id="38" w:name="_Toc473906606"/>
      <w:r>
        <w:t xml:space="preserve">RAN2 to discuss during WI phase how UE capability structure could be simplified, e.g. by separating </w:t>
      </w:r>
      <w:r w:rsidR="000576C4">
        <w:t>the</w:t>
      </w:r>
      <w:r>
        <w:t xml:space="preserve"> reporting of RF and </w:t>
      </w:r>
      <w:r w:rsidR="000576C4">
        <w:t>baseband capabilities</w:t>
      </w:r>
      <w:bookmarkEnd w:id="36"/>
      <w:bookmarkEnd w:id="37"/>
      <w:bookmarkEnd w:id="38"/>
      <w:r>
        <w:t xml:space="preserve"> </w:t>
      </w:r>
    </w:p>
    <w:p w14:paraId="12AAA920" w14:textId="77777777" w:rsidR="00AD1C92" w:rsidRDefault="00BD5CE9" w:rsidP="00F53619">
      <w:pPr>
        <w:pStyle w:val="Heading3"/>
      </w:pPr>
      <w:r>
        <w:t>Layer 2 buffer size</w:t>
      </w:r>
    </w:p>
    <w:p w14:paraId="3826F064" w14:textId="352D7A0F" w:rsidR="00AD1C92" w:rsidRDefault="00892095" w:rsidP="00AD1C92">
      <w:r>
        <w:t>A</w:t>
      </w:r>
      <w:r w:rsidR="009F582B">
        <w:t>ssum</w:t>
      </w:r>
      <w:r>
        <w:t>ing</w:t>
      </w:r>
      <w:r w:rsidR="009F582B">
        <w:t xml:space="preserve"> that the layer 2 buffer size can be freely allocated to either LTE or NR (to be confirmed from RAN1/4)</w:t>
      </w:r>
      <w:proofErr w:type="gramStart"/>
      <w:r w:rsidR="009F582B">
        <w:t>,</w:t>
      </w:r>
      <w:proofErr w:type="gramEnd"/>
      <w:r w:rsidR="009F582B">
        <w:t xml:space="preserve"> the network nodes need to ensure the UE is scheduled in such a way that the total layer 2 buffer is not exceeded. </w:t>
      </w:r>
      <w:r w:rsidR="00BD5CE9">
        <w:t>T</w:t>
      </w:r>
      <w:r w:rsidR="009A1CF9">
        <w:t xml:space="preserve">he </w:t>
      </w:r>
      <w:r w:rsidR="009F582B">
        <w:t xml:space="preserve">UE should then advertise its </w:t>
      </w:r>
      <w:r w:rsidR="009A1CF9">
        <w:t xml:space="preserve">total Layer 2 buffer size </w:t>
      </w:r>
      <w:r w:rsidR="009F582B">
        <w:t>(</w:t>
      </w:r>
      <w:r w:rsidR="009A1CF9">
        <w:t>expressed in number of bytes</w:t>
      </w:r>
      <w:r w:rsidR="009F582B">
        <w:t>)</w:t>
      </w:r>
      <w:r w:rsidR="009A1CF9">
        <w:t xml:space="preserve"> </w:t>
      </w:r>
      <w:r w:rsidR="009F582B">
        <w:t xml:space="preserve">to both </w:t>
      </w:r>
      <w:r w:rsidR="009A1CF9">
        <w:t>RAT</w:t>
      </w:r>
      <w:r w:rsidR="009F582B">
        <w:t>s</w:t>
      </w:r>
      <w:r w:rsidR="009A1CF9">
        <w:t xml:space="preserve"> in the RAT specific capability container</w:t>
      </w:r>
      <w:r w:rsidR="009F582B">
        <w:t>s</w:t>
      </w:r>
      <w:r w:rsidR="006656F3">
        <w:t xml:space="preserve">, see section </w:t>
      </w:r>
      <w:r w:rsidR="006656F3">
        <w:fldChar w:fldCharType="begin"/>
      </w:r>
      <w:r w:rsidR="006656F3">
        <w:instrText xml:space="preserve"> REF _Ref471161924 \r \h </w:instrText>
      </w:r>
      <w:r w:rsidR="006656F3">
        <w:fldChar w:fldCharType="separate"/>
      </w:r>
      <w:r w:rsidR="009A1743">
        <w:t>3.2</w:t>
      </w:r>
      <w:r w:rsidR="006656F3">
        <w:fldChar w:fldCharType="end"/>
      </w:r>
      <w:r w:rsidR="009A1CF9">
        <w:t xml:space="preserve">. Thus each RAT has the knowledge of the total number of bytes supported for the layer 2 buffer that is supported for single connectivity. </w:t>
      </w:r>
      <w:r w:rsidR="009F582B">
        <w:t xml:space="preserve">When configuring NR+LTE tight interworking for a UE, </w:t>
      </w:r>
      <w:r w:rsidR="00BD5CE9">
        <w:t>some information exchange on the share is needed between the</w:t>
      </w:r>
      <w:r w:rsidR="00022AA5">
        <w:t xml:space="preserve"> master and the secondary node. Since the </w:t>
      </w:r>
      <w:proofErr w:type="gramStart"/>
      <w:r w:rsidR="00022AA5">
        <w:t>L2</w:t>
      </w:r>
      <w:proofErr w:type="gramEnd"/>
      <w:r w:rsidR="00022AA5">
        <w:t xml:space="preserve"> buffer size is mutually understandable for LTE and NR, this falls into the Type III type of capabilities and coordination can reuse same principles as used for LTE DC.  </w:t>
      </w:r>
    </w:p>
    <w:p w14:paraId="48E0F5E8" w14:textId="77777777" w:rsidR="00A53961" w:rsidRPr="006612C0" w:rsidRDefault="00892095" w:rsidP="00A53961">
      <w:pPr>
        <w:pStyle w:val="Proposal"/>
      </w:pPr>
      <w:bookmarkStart w:id="39" w:name="_Toc473833412"/>
      <w:bookmarkStart w:id="40" w:name="_Toc473833561"/>
      <w:bookmarkStart w:id="41" w:name="_Toc473906607"/>
      <w:r>
        <w:t>Capability coordination of Layer 2 buffer size</w:t>
      </w:r>
      <w:r w:rsidR="00A53961">
        <w:t xml:space="preserve"> </w:t>
      </w:r>
      <w:r>
        <w:t>between LTE and NR can follow the same signalling principles as for LTE DC.</w:t>
      </w:r>
      <w:bookmarkEnd w:id="39"/>
      <w:bookmarkEnd w:id="40"/>
      <w:bookmarkEnd w:id="41"/>
    </w:p>
    <w:p w14:paraId="7946AD5A" w14:textId="77777777" w:rsidR="00BD1431" w:rsidRDefault="008218FF" w:rsidP="00AE3AF0">
      <w:pPr>
        <w:pStyle w:val="Heading2"/>
      </w:pPr>
      <w:r>
        <w:t>S</w:t>
      </w:r>
      <w:r w:rsidR="00AE3AF0">
        <w:t>ignalling</w:t>
      </w:r>
      <w:r w:rsidR="00C90A84">
        <w:t xml:space="preserve"> procedure</w:t>
      </w:r>
      <w:r w:rsidR="00890206">
        <w:t>s</w:t>
      </w:r>
    </w:p>
    <w:p w14:paraId="2775615D" w14:textId="2CB0509E" w:rsidR="00AE3AF0" w:rsidRDefault="008218FF" w:rsidP="00AE3AF0">
      <w:r>
        <w:t xml:space="preserve">In this section, </w:t>
      </w:r>
      <w:r w:rsidR="00C90A84">
        <w:t xml:space="preserve">the </w:t>
      </w:r>
      <w:r w:rsidR="000F0DFE">
        <w:t>procedure</w:t>
      </w:r>
      <w:r w:rsidR="00AE3AF0">
        <w:t xml:space="preserve"> for </w:t>
      </w:r>
      <w:r>
        <w:t xml:space="preserve">UE </w:t>
      </w:r>
      <w:r w:rsidR="00AE3AF0">
        <w:t xml:space="preserve">capability </w:t>
      </w:r>
      <w:r>
        <w:t xml:space="preserve">signalling </w:t>
      </w:r>
      <w:proofErr w:type="gramStart"/>
      <w:r w:rsidR="002F6BA5">
        <w:t>is</w:t>
      </w:r>
      <w:r w:rsidR="000F0DFE">
        <w:t xml:space="preserve"> </w:t>
      </w:r>
      <w:r>
        <w:t>discussed</w:t>
      </w:r>
      <w:proofErr w:type="gramEnd"/>
      <w:r>
        <w:t>.</w:t>
      </w:r>
      <w:r w:rsidR="00D5106C">
        <w:t xml:space="preserve"> Here </w:t>
      </w:r>
      <w:r w:rsidR="008B3346">
        <w:t xml:space="preserve">deployment </w:t>
      </w:r>
      <w:r w:rsidR="00D5106C">
        <w:t xml:space="preserve">option 3, with LTE as master and NR as secondary node </w:t>
      </w:r>
      <w:proofErr w:type="gramStart"/>
      <w:r w:rsidR="00D5106C">
        <w:t>is used</w:t>
      </w:r>
      <w:proofErr w:type="gramEnd"/>
      <w:r w:rsidR="00D5106C">
        <w:t xml:space="preserve"> as example</w:t>
      </w:r>
      <w:r w:rsidR="00ED0573">
        <w:t>,</w:t>
      </w:r>
      <w:r w:rsidR="000F0DFE">
        <w:t xml:space="preserve"> see </w:t>
      </w:r>
      <w:r w:rsidR="00D5106C">
        <w:fldChar w:fldCharType="begin"/>
      </w:r>
      <w:r w:rsidR="00D5106C">
        <w:instrText xml:space="preserve"> REF _Ref465975287 \h </w:instrText>
      </w:r>
      <w:r w:rsidR="00D5106C">
        <w:fldChar w:fldCharType="separate"/>
      </w:r>
      <w:r w:rsidR="007C1B67">
        <w:t xml:space="preserve">Figure </w:t>
      </w:r>
      <w:r w:rsidR="007C1B67">
        <w:rPr>
          <w:noProof/>
        </w:rPr>
        <w:t>2</w:t>
      </w:r>
      <w:r w:rsidR="00D5106C">
        <w:fldChar w:fldCharType="end"/>
      </w:r>
      <w:r w:rsidR="000F0DFE">
        <w:t>. The procedure starts with</w:t>
      </w:r>
      <w:r w:rsidR="00D5106C">
        <w:t xml:space="preserve"> </w:t>
      </w:r>
      <w:r w:rsidR="000F0DFE">
        <w:t xml:space="preserve">LTE+NR capability information </w:t>
      </w:r>
      <w:r w:rsidR="00D5106C">
        <w:t>signalled from UE to network via LTE</w:t>
      </w:r>
      <w:r w:rsidR="008B3346">
        <w:t xml:space="preserve"> RRC</w:t>
      </w:r>
      <w:r w:rsidR="00D5106C">
        <w:t xml:space="preserve">. </w:t>
      </w:r>
      <w:r w:rsidR="00223744">
        <w:t xml:space="preserve">Having received the capability </w:t>
      </w:r>
      <w:r w:rsidR="00640FEB">
        <w:t>information,</w:t>
      </w:r>
      <w:r w:rsidR="00223744">
        <w:t xml:space="preserve"> the LTE </w:t>
      </w:r>
      <w:proofErr w:type="spellStart"/>
      <w:r w:rsidR="00223744">
        <w:t>eNB</w:t>
      </w:r>
      <w:proofErr w:type="spellEnd"/>
      <w:r w:rsidR="00223744">
        <w:t xml:space="preserve"> decides the MCG configuration and sends a </w:t>
      </w:r>
      <w:r w:rsidR="007D2BF7">
        <w:t>“</w:t>
      </w:r>
      <w:proofErr w:type="spellStart"/>
      <w:r w:rsidR="00ED0573">
        <w:t>Se</w:t>
      </w:r>
      <w:r w:rsidR="00223744">
        <w:t>NB</w:t>
      </w:r>
      <w:proofErr w:type="spellEnd"/>
      <w:r w:rsidR="00223744">
        <w:t xml:space="preserve"> addition request</w:t>
      </w:r>
      <w:r w:rsidR="007D2BF7">
        <w:t>”</w:t>
      </w:r>
      <w:r w:rsidR="00223744">
        <w:t xml:space="preserve"> message</w:t>
      </w:r>
      <w:r w:rsidR="007D2BF7">
        <w:t xml:space="preserve"> (exact naming of the X2 AP messages</w:t>
      </w:r>
      <w:r w:rsidR="00357177">
        <w:t xml:space="preserve"> and procedures</w:t>
      </w:r>
      <w:r w:rsidR="007D2BF7">
        <w:t xml:space="preserve"> in Figures 1 and 2 is FFS, RAN3 topic)</w:t>
      </w:r>
      <w:r w:rsidR="00ED0573">
        <w:t xml:space="preserve"> to the NR </w:t>
      </w:r>
      <w:proofErr w:type="spellStart"/>
      <w:r w:rsidR="00ED0573">
        <w:t>e</w:t>
      </w:r>
      <w:r w:rsidR="00223744">
        <w:t>NB</w:t>
      </w:r>
      <w:proofErr w:type="spellEnd"/>
      <w:r w:rsidR="00223744">
        <w:t xml:space="preserve">, including the </w:t>
      </w:r>
      <w:r w:rsidR="009A1743">
        <w:t>“</w:t>
      </w:r>
      <w:r w:rsidR="00223744">
        <w:t>MCG configuration</w:t>
      </w:r>
      <w:r w:rsidR="009A1743">
        <w:t>”</w:t>
      </w:r>
      <w:r w:rsidR="00223744">
        <w:t xml:space="preserve"> and </w:t>
      </w:r>
      <w:r w:rsidR="00357177">
        <w:t xml:space="preserve">necessary </w:t>
      </w:r>
      <w:r w:rsidR="00ED0573">
        <w:t xml:space="preserve">UE </w:t>
      </w:r>
      <w:r w:rsidR="00357177">
        <w:t>capability inf</w:t>
      </w:r>
      <w:r w:rsidR="00ED0573">
        <w:t xml:space="preserve">ormation for the NR </w:t>
      </w:r>
      <w:proofErr w:type="spellStart"/>
      <w:r w:rsidR="00ED0573">
        <w:t>e</w:t>
      </w:r>
      <w:r w:rsidR="00357177">
        <w:t>NB</w:t>
      </w:r>
      <w:proofErr w:type="spellEnd"/>
      <w:r w:rsidR="00357177">
        <w:t xml:space="preserve"> to select the NR SCG </w:t>
      </w:r>
      <w:r w:rsidR="00357177">
        <w:lastRenderedPageBreak/>
        <w:t>configuration</w:t>
      </w:r>
      <w:r w:rsidR="001A7919">
        <w:t xml:space="preserve">. </w:t>
      </w:r>
      <w:r w:rsidR="009A1743">
        <w:t xml:space="preserve">Since RAN2 agreed that </w:t>
      </w:r>
      <w:proofErr w:type="spellStart"/>
      <w:r w:rsidR="009A1743">
        <w:t>MeNB</w:t>
      </w:r>
      <w:proofErr w:type="spellEnd"/>
      <w:r w:rsidR="009A1743">
        <w:t xml:space="preserve"> and </w:t>
      </w:r>
      <w:proofErr w:type="spellStart"/>
      <w:r w:rsidR="009A1743">
        <w:t>SeNB</w:t>
      </w:r>
      <w:proofErr w:type="spellEnd"/>
      <w:r w:rsidR="009A1743">
        <w:t xml:space="preserve"> should not be required to comprehend the configuration selected by each other, </w:t>
      </w:r>
      <w:r w:rsidR="00DF76DF">
        <w:t xml:space="preserve">the above-mentioned “MCG Configuration” should preferably be abstracted. If RAN2 adopts the </w:t>
      </w:r>
      <w:r w:rsidR="00335E40">
        <w:t>abstract capability signalling</w:t>
      </w:r>
      <w:r w:rsidR="00DF76DF">
        <w:t xml:space="preserve"> approach, the </w:t>
      </w:r>
      <w:proofErr w:type="spellStart"/>
      <w:r w:rsidR="00DF76DF">
        <w:t>MeNB</w:t>
      </w:r>
      <w:proofErr w:type="spellEnd"/>
      <w:r w:rsidR="00DF76DF">
        <w:t xml:space="preserve"> could provide the capability index that matches the configuration it chose for the UE’s MCG. </w:t>
      </w:r>
      <w:r w:rsidR="001A7919">
        <w:t>Based o</w:t>
      </w:r>
      <w:r w:rsidR="00ED0573">
        <w:t xml:space="preserve">n this information the NR </w:t>
      </w:r>
      <w:proofErr w:type="spellStart"/>
      <w:r w:rsidR="00ED0573">
        <w:t>e</w:t>
      </w:r>
      <w:r w:rsidR="00223744">
        <w:t>NB</w:t>
      </w:r>
      <w:proofErr w:type="spellEnd"/>
      <w:r w:rsidR="00223744">
        <w:t xml:space="preserve"> selects the SCG configuration, ensuring the LTE+NR capabilities </w:t>
      </w:r>
      <w:proofErr w:type="gramStart"/>
      <w:r w:rsidR="00223744">
        <w:t>are not exceeded</w:t>
      </w:r>
      <w:proofErr w:type="gramEnd"/>
      <w:r w:rsidR="00223744">
        <w:t xml:space="preserve">. </w:t>
      </w:r>
      <w:r w:rsidR="00DF76DF">
        <w:t xml:space="preserve">Specifically, it may choose any of the NR capabilities that are compatible with the capability index chosen by the </w:t>
      </w:r>
      <w:proofErr w:type="spellStart"/>
      <w:r w:rsidR="00DF76DF">
        <w:t>MeNB</w:t>
      </w:r>
      <w:proofErr w:type="spellEnd"/>
      <w:r w:rsidR="00DF76DF">
        <w:t xml:space="preserve">. </w:t>
      </w:r>
      <w:r w:rsidR="00223744">
        <w:t xml:space="preserve">It then sends the SCG configuration back to the LTE </w:t>
      </w:r>
      <w:proofErr w:type="spellStart"/>
      <w:r w:rsidR="00223744">
        <w:t>eNB</w:t>
      </w:r>
      <w:proofErr w:type="spellEnd"/>
      <w:r w:rsidR="00223744">
        <w:t xml:space="preserve">, contained in an NR RRC PDU, as agreed in RAN2#95bis. The LTE </w:t>
      </w:r>
      <w:proofErr w:type="spellStart"/>
      <w:r w:rsidR="00223744">
        <w:t>eNB</w:t>
      </w:r>
      <w:proofErr w:type="spellEnd"/>
      <w:r w:rsidR="00223744">
        <w:t xml:space="preserve"> finally sends the LTE RRC connection reconfiguration message to the UE, including the NR RRC PDU, containing the SCG configuration.</w:t>
      </w:r>
      <w:r w:rsidR="00DF76DF">
        <w:t xml:space="preserve"> Besides the actual SCG configuration (container), the </w:t>
      </w:r>
      <w:proofErr w:type="spellStart"/>
      <w:r w:rsidR="00DF76DF">
        <w:t>SeNB</w:t>
      </w:r>
      <w:proofErr w:type="spellEnd"/>
      <w:r w:rsidR="00DF76DF">
        <w:t xml:space="preserve"> should also convey the NR capability index that matches the chosen SCG configuration. Based on this information the </w:t>
      </w:r>
      <w:proofErr w:type="spellStart"/>
      <w:r w:rsidR="00DF76DF">
        <w:t>MeNB</w:t>
      </w:r>
      <w:proofErr w:type="spellEnd"/>
      <w:r w:rsidR="00DF76DF">
        <w:t xml:space="preserve"> knows which MCG re-configurations it may perform without colliding with the current SCG configuration. In other words, both </w:t>
      </w:r>
      <w:proofErr w:type="spellStart"/>
      <w:r w:rsidR="00DF76DF">
        <w:t>MeNB</w:t>
      </w:r>
      <w:proofErr w:type="spellEnd"/>
      <w:r w:rsidR="00DF76DF">
        <w:t xml:space="preserve"> and </w:t>
      </w:r>
      <w:proofErr w:type="spellStart"/>
      <w:r w:rsidR="00DF76DF">
        <w:t>SeNB</w:t>
      </w:r>
      <w:proofErr w:type="spellEnd"/>
      <w:r w:rsidR="00DF76DF">
        <w:t xml:space="preserve"> may autonomously select any other MCG and SCG configuration (respectively) that is compatible with the configuration index of their peer. </w:t>
      </w:r>
      <w:r w:rsidR="00ED7C68">
        <w:t xml:space="preserve">A race condition may occur if both </w:t>
      </w:r>
      <w:proofErr w:type="spellStart"/>
      <w:r w:rsidR="00ED7C68">
        <w:t>SeNB</w:t>
      </w:r>
      <w:proofErr w:type="spellEnd"/>
      <w:r w:rsidR="00ED7C68">
        <w:t xml:space="preserve"> and </w:t>
      </w:r>
      <w:proofErr w:type="spellStart"/>
      <w:r w:rsidR="00ED7C68">
        <w:t>MeNB</w:t>
      </w:r>
      <w:proofErr w:type="spellEnd"/>
      <w:r w:rsidR="00ED7C68">
        <w:t xml:space="preserve"> initiate a reconfiguration so that their capability indexes result in a not-allowed configuration. The MCG must hence identify such situations and reject the </w:t>
      </w:r>
      <w:proofErr w:type="spellStart"/>
      <w:r w:rsidR="00ED7C68">
        <w:t>SeNB</w:t>
      </w:r>
      <w:proofErr w:type="spellEnd"/>
      <w:r w:rsidR="00ED7C68">
        <w:t xml:space="preserve"> modification request.</w:t>
      </w:r>
    </w:p>
    <w:p w14:paraId="530347CF" w14:textId="6E941A19" w:rsidR="00ED7C68" w:rsidRDefault="00ED7C68" w:rsidP="00AE3AF0">
      <w:r>
        <w:t xml:space="preserve">If the </w:t>
      </w:r>
      <w:proofErr w:type="spellStart"/>
      <w:r>
        <w:t>MeNB</w:t>
      </w:r>
      <w:proofErr w:type="spellEnd"/>
      <w:r>
        <w:t xml:space="preserve"> or the </w:t>
      </w:r>
      <w:proofErr w:type="spellStart"/>
      <w:r>
        <w:t>SeNB</w:t>
      </w:r>
      <w:proofErr w:type="spellEnd"/>
      <w:r>
        <w:t xml:space="preserve"> intends to use a configuration that is not allowed based on the capability index provided by the peer, it could send a “downgrade request”, i.e., propose/mandate the peer to choose a new configuration that is compatible with another capability index. </w:t>
      </w:r>
    </w:p>
    <w:p w14:paraId="5D24F670" w14:textId="77777777" w:rsidR="00A3174B" w:rsidRDefault="00A3174B" w:rsidP="00AE3AF0"/>
    <w:p w14:paraId="6E0F15BB" w14:textId="77777777" w:rsidR="00D5106C" w:rsidRDefault="00ED0573" w:rsidP="007E5632">
      <w:pPr>
        <w:pStyle w:val="Caption"/>
      </w:pPr>
      <w:r w:rsidRPr="005B5AE3">
        <w:object w:dxaOrig="9990" w:dyaOrig="3255" w14:anchorId="6AA7A9DF">
          <v:shape id="_x0000_i1026" type="#_x0000_t75" style="width:447pt;height:145.5pt" o:ole="" o:bordertopcolor="black" o:borderleftcolor="black" o:borderbottomcolor="black" o:borderrightcolor="black" filled="t">
            <v:imagedata r:id="rId17" o:title=""/>
            <w10:bordertop type="single" width="6"/>
            <w10:borderleft type="single" width="6"/>
            <w10:borderbottom type="single" width="6"/>
            <w10:borderright type="single" width="6"/>
          </v:shape>
          <o:OLEObject Type="Embed" ProgID="Visio.Drawing.11" ShapeID="_x0000_i1026" DrawAspect="Content" ObjectID="_1547680828" r:id="rId18"/>
        </w:object>
      </w:r>
    </w:p>
    <w:p w14:paraId="53C1881D" w14:textId="77777777" w:rsidR="00751F55" w:rsidRDefault="007E5632" w:rsidP="00ED0573">
      <w:pPr>
        <w:pStyle w:val="Caption"/>
      </w:pPr>
      <w:bookmarkStart w:id="42" w:name="_Ref465975287"/>
      <w:r>
        <w:t xml:space="preserve">Figure </w:t>
      </w:r>
      <w:r>
        <w:fldChar w:fldCharType="begin"/>
      </w:r>
      <w:r>
        <w:instrText xml:space="preserve"> SEQ Figure \* ARABIC </w:instrText>
      </w:r>
      <w:r>
        <w:fldChar w:fldCharType="separate"/>
      </w:r>
      <w:r w:rsidR="007C1B67">
        <w:rPr>
          <w:noProof/>
        </w:rPr>
        <w:t>2</w:t>
      </w:r>
      <w:r>
        <w:fldChar w:fldCharType="end"/>
      </w:r>
      <w:bookmarkEnd w:id="42"/>
      <w:r>
        <w:t xml:space="preserve">: </w:t>
      </w:r>
      <w:r w:rsidR="00707928">
        <w:t xml:space="preserve">Signalling during </w:t>
      </w:r>
      <w:r>
        <w:t xml:space="preserve">UE capability </w:t>
      </w:r>
      <w:r w:rsidR="00707928">
        <w:t xml:space="preserve">coordination </w:t>
      </w:r>
      <w:bookmarkStart w:id="43" w:name="_Toc469398880"/>
      <w:bookmarkStart w:id="44" w:name="_Toc471166795"/>
      <w:bookmarkEnd w:id="43"/>
      <w:bookmarkEnd w:id="44"/>
    </w:p>
    <w:p w14:paraId="1D863F7E" w14:textId="77777777" w:rsidR="00117344" w:rsidRPr="00F01E46" w:rsidRDefault="00117344" w:rsidP="00117344">
      <w:pPr>
        <w:pStyle w:val="Heading1"/>
      </w:pPr>
      <w:r w:rsidRPr="00F01E46">
        <w:t>Conclusion</w:t>
      </w:r>
    </w:p>
    <w:p w14:paraId="423E8D3B" w14:textId="77777777" w:rsidR="00117344" w:rsidRPr="00F01E46" w:rsidRDefault="00117344" w:rsidP="00117344">
      <w:pPr>
        <w:pStyle w:val="BodyText"/>
      </w:pPr>
      <w:r w:rsidRPr="00F01E46">
        <w:t xml:space="preserve">Based on the discussion in section </w:t>
      </w:r>
      <w:r w:rsidRPr="00F01E46">
        <w:rPr>
          <w:highlight w:val="cyan"/>
        </w:rPr>
        <w:fldChar w:fldCharType="begin"/>
      </w:r>
      <w:r w:rsidRPr="00F01E46">
        <w:instrText xml:space="preserve"> REF _Ref178064866 \r \h </w:instrText>
      </w:r>
      <w:r w:rsidRPr="00F01E46">
        <w:rPr>
          <w:highlight w:val="cyan"/>
        </w:rPr>
      </w:r>
      <w:r w:rsidRPr="00F01E46">
        <w:rPr>
          <w:highlight w:val="cyan"/>
        </w:rPr>
        <w:fldChar w:fldCharType="separate"/>
      </w:r>
      <w:r w:rsidR="007C1B67">
        <w:t>2</w:t>
      </w:r>
      <w:r w:rsidRPr="00F01E46">
        <w:rPr>
          <w:highlight w:val="cyan"/>
        </w:rPr>
        <w:fldChar w:fldCharType="end"/>
      </w:r>
      <w:r w:rsidRPr="00F01E46">
        <w:t xml:space="preserve"> we propose the following:</w:t>
      </w:r>
    </w:p>
    <w:p w14:paraId="6ED41024" w14:textId="77777777" w:rsidR="00335E40" w:rsidRPr="00335E40" w:rsidRDefault="00117344">
      <w:pPr>
        <w:pStyle w:val="TOC1"/>
        <w:rPr>
          <w:rFonts w:asciiTheme="minorHAnsi" w:eastAsiaTheme="minorEastAsia" w:hAnsiTheme="minorHAnsi" w:cstheme="minorBidi"/>
          <w:b w:val="0"/>
          <w:sz w:val="22"/>
          <w:lang w:val="en-GB" w:eastAsia="fi-FI"/>
        </w:rPr>
      </w:pPr>
      <w:r w:rsidRPr="00F01E46">
        <w:rPr>
          <w:b w:val="0"/>
          <w:bCs/>
          <w:lang w:val="en-GB"/>
        </w:rPr>
        <w:fldChar w:fldCharType="begin"/>
      </w:r>
      <w:r w:rsidRPr="00F01E46">
        <w:rPr>
          <w:b w:val="0"/>
          <w:bCs/>
          <w:lang w:val="en-GB"/>
        </w:rPr>
        <w:instrText xml:space="preserve"> TOC \f \n \p " " \t "Proposal;1" </w:instrText>
      </w:r>
      <w:r w:rsidRPr="00F01E46">
        <w:rPr>
          <w:b w:val="0"/>
          <w:bCs/>
          <w:lang w:val="en-GB"/>
        </w:rPr>
        <w:fldChar w:fldCharType="separate"/>
      </w:r>
      <w:r w:rsidR="00335E40">
        <w:t>Proposal 1</w:t>
      </w:r>
      <w:r w:rsidR="00335E40" w:rsidRPr="00335E40">
        <w:rPr>
          <w:rFonts w:asciiTheme="minorHAnsi" w:eastAsiaTheme="minorEastAsia" w:hAnsiTheme="minorHAnsi" w:cstheme="minorBidi"/>
          <w:b w:val="0"/>
          <w:sz w:val="22"/>
          <w:lang w:val="en-GB" w:eastAsia="fi-FI"/>
        </w:rPr>
        <w:tab/>
      </w:r>
      <w:r w:rsidR="00335E40">
        <w:t>The main principle that UE signals its full capability upon which network configures the UE should be maintained also for LTE-NR tight interworking.</w:t>
      </w:r>
    </w:p>
    <w:p w14:paraId="587C2000" w14:textId="77777777" w:rsidR="00335E40" w:rsidRPr="00335E40" w:rsidRDefault="00335E40">
      <w:pPr>
        <w:pStyle w:val="TOC1"/>
        <w:rPr>
          <w:rFonts w:asciiTheme="minorHAnsi" w:eastAsiaTheme="minorEastAsia" w:hAnsiTheme="minorHAnsi" w:cstheme="minorBidi"/>
          <w:b w:val="0"/>
          <w:sz w:val="22"/>
          <w:lang w:val="en-GB" w:eastAsia="fi-FI"/>
        </w:rPr>
      </w:pPr>
      <w:r>
        <w:t>Proposal 2</w:t>
      </w:r>
      <w:r w:rsidRPr="00335E40">
        <w:rPr>
          <w:rFonts w:asciiTheme="minorHAnsi" w:eastAsiaTheme="minorEastAsia" w:hAnsiTheme="minorHAnsi" w:cstheme="minorBidi"/>
          <w:b w:val="0"/>
          <w:sz w:val="22"/>
          <w:lang w:val="en-GB" w:eastAsia="fi-FI"/>
        </w:rPr>
        <w:tab/>
      </w:r>
      <w:r>
        <w:t>UE capability reporting for LTE-NR tight interworking follows the same principle of IRAT capability reporting in LTE, i.e. LTE and NR capabilities are signalled as separate containers in a capability container list.</w:t>
      </w:r>
    </w:p>
    <w:p w14:paraId="2CE481A2" w14:textId="77777777" w:rsidR="00335E40" w:rsidRPr="00335E40" w:rsidRDefault="00335E40">
      <w:pPr>
        <w:pStyle w:val="TOC1"/>
        <w:rPr>
          <w:rFonts w:asciiTheme="minorHAnsi" w:eastAsiaTheme="minorEastAsia" w:hAnsiTheme="minorHAnsi" w:cstheme="minorBidi"/>
          <w:b w:val="0"/>
          <w:sz w:val="22"/>
          <w:lang w:val="en-GB" w:eastAsia="fi-FI"/>
        </w:rPr>
      </w:pPr>
      <w:r>
        <w:t>Proposal 3</w:t>
      </w:r>
      <w:r w:rsidRPr="00335E40">
        <w:rPr>
          <w:rFonts w:asciiTheme="minorHAnsi" w:eastAsiaTheme="minorEastAsia" w:hAnsiTheme="minorHAnsi" w:cstheme="minorBidi"/>
          <w:b w:val="0"/>
          <w:sz w:val="22"/>
          <w:lang w:val="en-GB" w:eastAsia="fi-FI"/>
        </w:rPr>
        <w:tab/>
      </w:r>
      <w:r>
        <w:t>Feasibility of abstract signalling of band combination support across LTE and NR needs to be discussed and evaluated further during the work item phase.</w:t>
      </w:r>
    </w:p>
    <w:p w14:paraId="554DF154" w14:textId="77777777" w:rsidR="00335E40" w:rsidRPr="00335E40" w:rsidRDefault="00335E40">
      <w:pPr>
        <w:pStyle w:val="TOC1"/>
        <w:rPr>
          <w:rFonts w:asciiTheme="minorHAnsi" w:eastAsiaTheme="minorEastAsia" w:hAnsiTheme="minorHAnsi" w:cstheme="minorBidi"/>
          <w:b w:val="0"/>
          <w:sz w:val="22"/>
          <w:lang w:val="en-GB" w:eastAsia="fi-FI"/>
        </w:rPr>
      </w:pPr>
      <w:r>
        <w:t>Proposal 4</w:t>
      </w:r>
      <w:r w:rsidRPr="00335E40">
        <w:rPr>
          <w:rFonts w:asciiTheme="minorHAnsi" w:eastAsiaTheme="minorEastAsia" w:hAnsiTheme="minorHAnsi" w:cstheme="minorBidi"/>
          <w:b w:val="0"/>
          <w:sz w:val="22"/>
          <w:lang w:val="en-GB" w:eastAsia="fi-FI"/>
        </w:rPr>
        <w:tab/>
      </w:r>
      <w:r>
        <w:t>RAN2 to send a follow-up to the Rel-13 LS to RAN4 about indexing of band combinations including the case of LTE-NR interworking.</w:t>
      </w:r>
    </w:p>
    <w:p w14:paraId="2A2FF650" w14:textId="77777777" w:rsidR="00335E40" w:rsidRPr="00335E40" w:rsidRDefault="00335E40">
      <w:pPr>
        <w:pStyle w:val="TOC1"/>
        <w:rPr>
          <w:rFonts w:asciiTheme="minorHAnsi" w:eastAsiaTheme="minorEastAsia" w:hAnsiTheme="minorHAnsi" w:cstheme="minorBidi"/>
          <w:b w:val="0"/>
          <w:sz w:val="22"/>
          <w:lang w:val="en-GB" w:eastAsia="fi-FI"/>
        </w:rPr>
      </w:pPr>
      <w:r>
        <w:t>Proposal 5</w:t>
      </w:r>
      <w:r w:rsidRPr="00335E40">
        <w:rPr>
          <w:rFonts w:asciiTheme="minorHAnsi" w:eastAsiaTheme="minorEastAsia" w:hAnsiTheme="minorHAnsi" w:cstheme="minorBidi"/>
          <w:b w:val="0"/>
          <w:sz w:val="22"/>
          <w:lang w:val="en-GB" w:eastAsia="fi-FI"/>
        </w:rPr>
        <w:tab/>
      </w:r>
      <w:r>
        <w:t>RAN2 to discuss during WI phase how UE capability structure could be simplified, e.g. by separating the reporting of RF and baseband capabilities</w:t>
      </w:r>
    </w:p>
    <w:p w14:paraId="0D0929E4" w14:textId="77777777" w:rsidR="00335E40" w:rsidRPr="00335E40" w:rsidRDefault="00335E40">
      <w:pPr>
        <w:pStyle w:val="TOC1"/>
        <w:rPr>
          <w:rFonts w:asciiTheme="minorHAnsi" w:eastAsiaTheme="minorEastAsia" w:hAnsiTheme="minorHAnsi" w:cstheme="minorBidi"/>
          <w:b w:val="0"/>
          <w:sz w:val="22"/>
          <w:lang w:val="en-GB" w:eastAsia="fi-FI"/>
        </w:rPr>
      </w:pPr>
      <w:r>
        <w:t>Proposal 6</w:t>
      </w:r>
      <w:r w:rsidRPr="00335E40">
        <w:rPr>
          <w:rFonts w:asciiTheme="minorHAnsi" w:eastAsiaTheme="minorEastAsia" w:hAnsiTheme="minorHAnsi" w:cstheme="minorBidi"/>
          <w:b w:val="0"/>
          <w:sz w:val="22"/>
          <w:lang w:val="en-GB" w:eastAsia="fi-FI"/>
        </w:rPr>
        <w:tab/>
      </w:r>
      <w:r>
        <w:t>Capability coordination of Layer 2 buffer size between LTE and NR can follow the same signalling principles as for LTE DC.</w:t>
      </w:r>
    </w:p>
    <w:p w14:paraId="0FF1C47F" w14:textId="7F40AA59" w:rsidR="00117344" w:rsidRDefault="00117344" w:rsidP="00117344">
      <w:pPr>
        <w:rPr>
          <w:b/>
          <w:bCs/>
        </w:rPr>
      </w:pPr>
      <w:r w:rsidRPr="00F01E46">
        <w:rPr>
          <w:b/>
          <w:bCs/>
        </w:rPr>
        <w:fldChar w:fldCharType="end"/>
      </w:r>
    </w:p>
    <w:p w14:paraId="490BFEF9" w14:textId="77777777" w:rsidR="00117344" w:rsidRDefault="00117344" w:rsidP="00117344">
      <w:pPr>
        <w:pStyle w:val="Heading1"/>
      </w:pPr>
      <w:r>
        <w:lastRenderedPageBreak/>
        <w:t>References</w:t>
      </w:r>
    </w:p>
    <w:p w14:paraId="6C417CB2" w14:textId="77777777" w:rsidR="00117344" w:rsidRDefault="00117344" w:rsidP="00117344">
      <w:pPr>
        <w:pStyle w:val="Reference"/>
      </w:pPr>
      <w:bookmarkStart w:id="45" w:name="_Ref462816198"/>
      <w:r>
        <w:t xml:space="preserve">3GPP TS 36.300, “Evolved Universal Terrestrial Radio Access (E-UTRA) and Evolved Universal Terrestrial Radio Access Network (E-UTRAN); Overall description; Stage 2”, </w:t>
      </w:r>
      <w:proofErr w:type="spellStart"/>
      <w:r>
        <w:t>ver</w:t>
      </w:r>
      <w:proofErr w:type="spellEnd"/>
      <w:r>
        <w:t xml:space="preserve"> 13.4.0</w:t>
      </w:r>
      <w:bookmarkEnd w:id="45"/>
    </w:p>
    <w:p w14:paraId="27599FEB" w14:textId="594F9BDD" w:rsidR="00117344" w:rsidRDefault="007633B1" w:rsidP="007633B1">
      <w:pPr>
        <w:pStyle w:val="Reference"/>
      </w:pPr>
      <w:bookmarkStart w:id="46" w:name="_Ref462818682"/>
      <w:bookmarkStart w:id="47" w:name="_Ref471519296"/>
      <w:bookmarkStart w:id="48" w:name="_Ref473894566"/>
      <w:r w:rsidRPr="007633B1">
        <w:t>R2-1700907</w:t>
      </w:r>
      <w:r w:rsidR="00117344">
        <w:t>, UE capability principle and signalling, Ericsson, RAN2</w:t>
      </w:r>
      <w:bookmarkEnd w:id="46"/>
      <w:bookmarkEnd w:id="47"/>
      <w:r>
        <w:t>-97</w:t>
      </w:r>
      <w:bookmarkEnd w:id="48"/>
    </w:p>
    <w:p w14:paraId="3458B989" w14:textId="77777777" w:rsidR="009E6978" w:rsidRPr="009E6978" w:rsidRDefault="009E6978" w:rsidP="00A8722F">
      <w:pPr>
        <w:pStyle w:val="Reference"/>
      </w:pPr>
      <w:bookmarkStart w:id="49" w:name="_Ref471135629"/>
      <w:r>
        <w:rPr>
          <w:rFonts w:cs="Arial"/>
          <w:lang w:eastAsia="ko-KR"/>
        </w:rPr>
        <w:t xml:space="preserve">R2-155006, LS </w:t>
      </w:r>
      <w:r>
        <w:rPr>
          <w:rFonts w:cs="Arial"/>
        </w:rPr>
        <w:t>on CA band combination indexing, RAN2 to RAN4</w:t>
      </w:r>
      <w:bookmarkEnd w:id="49"/>
    </w:p>
    <w:p w14:paraId="4AD29B54" w14:textId="77777777" w:rsidR="00EE7625" w:rsidRDefault="006656F3" w:rsidP="006656F3">
      <w:pPr>
        <w:pStyle w:val="Reference"/>
      </w:pPr>
      <w:bookmarkStart w:id="50" w:name="_Ref471164386"/>
      <w:r w:rsidRPr="006656F3">
        <w:t>R2-168609</w:t>
      </w:r>
      <w:r>
        <w:t>,</w:t>
      </w:r>
      <w:r w:rsidRPr="006656F3">
        <w:tab/>
        <w:t>Capability Coordination across RATs</w:t>
      </w:r>
      <w:r>
        <w:t>,</w:t>
      </w:r>
      <w:r w:rsidRPr="006656F3">
        <w:tab/>
      </w:r>
      <w:r>
        <w:t>Qualcomm Incorporated</w:t>
      </w:r>
      <w:bookmarkEnd w:id="50"/>
    </w:p>
    <w:p w14:paraId="0C9DC833" w14:textId="77777777" w:rsidR="00EC5512" w:rsidRDefault="00EC5512" w:rsidP="00EC5512">
      <w:pPr>
        <w:pStyle w:val="Reference"/>
      </w:pPr>
      <w:bookmarkStart w:id="51" w:name="_Ref471521147"/>
      <w:r w:rsidRPr="00EC5512">
        <w:t>R2-168961</w:t>
      </w:r>
      <w:r>
        <w:t>,</w:t>
      </w:r>
      <w:r w:rsidRPr="00EC5512">
        <w:tab/>
        <w:t>LS on UE capability aspects for LTE/NR tight inte</w:t>
      </w:r>
      <w:r>
        <w:t>rworking (to: RAN4, RAN1;</w:t>
      </w:r>
      <w:r w:rsidRPr="00EC5512">
        <w:t xml:space="preserve"> contact: Nokia)</w:t>
      </w:r>
      <w:bookmarkEnd w:id="51"/>
    </w:p>
    <w:p w14:paraId="1C160879" w14:textId="77777777" w:rsidR="00A53961" w:rsidRDefault="00A53961" w:rsidP="00EC5512">
      <w:pPr>
        <w:pStyle w:val="Reference"/>
      </w:pPr>
      <w:bookmarkStart w:id="52" w:name="_Ref473719944"/>
      <w:r>
        <w:t>R2-1700490, UE capability signalling for tight interworking, Ericsson</w:t>
      </w:r>
      <w:bookmarkEnd w:id="52"/>
    </w:p>
    <w:p w14:paraId="144FC96D" w14:textId="3285E801" w:rsidR="000576C4" w:rsidRDefault="007633B1" w:rsidP="007633B1">
      <w:pPr>
        <w:pStyle w:val="Heading1"/>
      </w:pPr>
      <w:bookmarkStart w:id="53" w:name="_Ref473894272"/>
      <w:r>
        <w:t>Annex – Agreements reached so far</w:t>
      </w:r>
      <w:bookmarkEnd w:id="53"/>
    </w:p>
    <w:p w14:paraId="6DA088EB" w14:textId="1DA60C88" w:rsidR="007633B1" w:rsidRDefault="007633B1" w:rsidP="007633B1">
      <w:r w:rsidRPr="007633B1">
        <w:t>RAN2#95</w:t>
      </w:r>
      <w:r>
        <w:t>:</w:t>
      </w:r>
    </w:p>
    <w:tbl>
      <w:tblPr>
        <w:tblStyle w:val="TableGrid"/>
        <w:tblW w:w="0" w:type="auto"/>
        <w:tblInd w:w="1129" w:type="dxa"/>
        <w:tblLook w:val="05E0" w:firstRow="1" w:lastRow="1" w:firstColumn="1" w:lastColumn="1" w:noHBand="0" w:noVBand="1"/>
      </w:tblPr>
      <w:tblGrid>
        <w:gridCol w:w="8500"/>
      </w:tblGrid>
      <w:tr w:rsidR="007633B1" w14:paraId="7C88564B" w14:textId="77777777" w:rsidTr="007633B1">
        <w:tc>
          <w:tcPr>
            <w:tcW w:w="8500" w:type="dxa"/>
          </w:tcPr>
          <w:p w14:paraId="3C3D1C1D" w14:textId="77777777" w:rsidR="007633B1" w:rsidRPr="007633B1" w:rsidRDefault="007633B1" w:rsidP="007633B1">
            <w:pPr>
              <w:tabs>
                <w:tab w:val="left" w:pos="340"/>
              </w:tabs>
              <w:overflowPunct/>
              <w:autoSpaceDE/>
              <w:autoSpaceDN/>
              <w:adjustRightInd/>
              <w:spacing w:after="180"/>
              <w:ind w:left="340" w:hanging="340"/>
              <w:jc w:val="left"/>
              <w:textAlignment w:val="auto"/>
            </w:pPr>
            <w:r w:rsidRPr="007633B1">
              <w:t>1</w:t>
            </w:r>
            <w:r w:rsidRPr="007633B1">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1B85F157" w14:textId="0C525091" w:rsidR="007633B1" w:rsidRPr="007633B1" w:rsidRDefault="007633B1" w:rsidP="000B5A9E">
            <w:pPr>
              <w:tabs>
                <w:tab w:val="left" w:pos="340"/>
              </w:tabs>
              <w:overflowPunct/>
              <w:autoSpaceDE/>
              <w:autoSpaceDN/>
              <w:adjustRightInd/>
              <w:spacing w:after="180"/>
              <w:ind w:left="340" w:hanging="340"/>
              <w:jc w:val="left"/>
              <w:textAlignment w:val="auto"/>
            </w:pPr>
            <w:r w:rsidRPr="007633B1">
              <w:t>2</w:t>
            </w:r>
            <w:r w:rsidRPr="007633B1">
              <w:tab/>
              <w:t xml:space="preserve">RAN2 should study further how to coordinate capabilities between the UE, LTE </w:t>
            </w:r>
            <w:proofErr w:type="spellStart"/>
            <w:r w:rsidRPr="007633B1">
              <w:t>eNB</w:t>
            </w:r>
            <w:proofErr w:type="spellEnd"/>
            <w:r w:rsidRPr="007633B1">
              <w:t xml:space="preserve"> and NR </w:t>
            </w:r>
            <w:proofErr w:type="spellStart"/>
            <w:r w:rsidRPr="007633B1">
              <w:t>gNB</w:t>
            </w:r>
            <w:proofErr w:type="spellEnd"/>
            <w:r w:rsidRPr="007633B1">
              <w:t xml:space="preserve"> </w:t>
            </w:r>
          </w:p>
        </w:tc>
      </w:tr>
    </w:tbl>
    <w:p w14:paraId="3D1F23BF" w14:textId="77777777" w:rsidR="007633B1" w:rsidRDefault="007633B1" w:rsidP="007633B1"/>
    <w:p w14:paraId="768CE621" w14:textId="5BD152C1" w:rsidR="007633B1" w:rsidRDefault="007633B1" w:rsidP="007633B1">
      <w:r>
        <w:t>RAN2#95bis</w:t>
      </w:r>
    </w:p>
    <w:p w14:paraId="16657E18"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rsidRPr="007475D7">
        <w:t xml:space="preserve">1: </w:t>
      </w:r>
      <w:r>
        <w:tab/>
      </w:r>
      <w:r w:rsidRPr="007475D7">
        <w:t xml:space="preserve">RAN2 shall consider the LTE/NR tight interworking (with LTE </w:t>
      </w:r>
      <w:proofErr w:type="spellStart"/>
      <w:r w:rsidRPr="007475D7">
        <w:t>eNB</w:t>
      </w:r>
      <w:proofErr w:type="spellEnd"/>
      <w:r w:rsidRPr="007475D7">
        <w:t xml:space="preserve">, NR </w:t>
      </w:r>
      <w:proofErr w:type="spellStart"/>
      <w:r w:rsidRPr="007475D7">
        <w:t>gNB</w:t>
      </w:r>
      <w:proofErr w:type="spellEnd"/>
      <w:r w:rsidRPr="007475D7">
        <w:t xml:space="preserve"> or </w:t>
      </w:r>
      <w:proofErr w:type="spellStart"/>
      <w:r w:rsidRPr="007475D7">
        <w:t>eLTE</w:t>
      </w:r>
      <w:proofErr w:type="spellEnd"/>
      <w:r w:rsidRPr="007475D7">
        <w:t xml:space="preserve"> </w:t>
      </w:r>
      <w:proofErr w:type="spellStart"/>
      <w:r w:rsidRPr="007475D7">
        <w:t>eNB</w:t>
      </w:r>
      <w:proofErr w:type="spellEnd"/>
      <w:r w:rsidRPr="007475D7">
        <w:t xml:space="preserve"> as a master node) for the coordination of capabilities.</w:t>
      </w:r>
    </w:p>
    <w:p w14:paraId="4EA32D2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t xml:space="preserve">We should aim to minimum the differences between the NR capability reporting across the LTE/NR tight interworking cases (NR </w:t>
      </w:r>
      <w:proofErr w:type="spellStart"/>
      <w:r>
        <w:t>gNB</w:t>
      </w:r>
      <w:proofErr w:type="spellEnd"/>
      <w:r>
        <w:t xml:space="preserve"> as a master node) and the standalone NR </w:t>
      </w:r>
      <w:proofErr w:type="spellStart"/>
      <w:r>
        <w:t>gNB</w:t>
      </w:r>
      <w:proofErr w:type="spellEnd"/>
      <w:r>
        <w:t xml:space="preserve"> case.</w:t>
      </w:r>
    </w:p>
    <w:p w14:paraId="6508AB47" w14:textId="324AA09B" w:rsidR="007633B1" w:rsidRDefault="007633B1" w:rsidP="007633B1">
      <w:pPr>
        <w:pStyle w:val="Doc-text2"/>
        <w:pBdr>
          <w:top w:val="single" w:sz="4" w:space="1" w:color="auto"/>
          <w:left w:val="single" w:sz="4" w:space="4" w:color="auto"/>
          <w:bottom w:val="single" w:sz="4" w:space="1" w:color="auto"/>
          <w:right w:val="single" w:sz="4" w:space="4" w:color="auto"/>
        </w:pBdr>
      </w:pPr>
      <w:r>
        <w:t>3</w:t>
      </w:r>
      <w:r>
        <w:tab/>
        <w:t>At least some band combinations across RATs should be coordinated across the master and the secondary nodes.</w:t>
      </w:r>
    </w:p>
    <w:p w14:paraId="189FA8C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401A6F9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5</w:t>
      </w:r>
      <w:r>
        <w:tab/>
        <w:t xml:space="preserve">RAN2 aim for a solution where the master node and secondary node are not required to comprehend </w:t>
      </w:r>
      <w:proofErr w:type="spellStart"/>
      <w:r>
        <w:t>each others</w:t>
      </w:r>
      <w:proofErr w:type="spellEnd"/>
      <w:r>
        <w:t xml:space="preserve"> UE configuration.</w:t>
      </w:r>
    </w:p>
    <w:p w14:paraId="5137245B" w14:textId="3271E917" w:rsidR="007633B1" w:rsidRDefault="007633B1" w:rsidP="007633B1"/>
    <w:p w14:paraId="4B7A9B9D"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39B0A6BC"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tab/>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r w:rsidRPr="007475D7">
        <w:t xml:space="preserve"> </w:t>
      </w:r>
    </w:p>
    <w:p w14:paraId="48F945D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r>
      <w:r w:rsidRPr="007475D7">
        <w:t xml:space="preserve">Allow </w:t>
      </w:r>
      <w:proofErr w:type="spellStart"/>
      <w:r w:rsidRPr="007475D7">
        <w:t>gNB</w:t>
      </w:r>
      <w:proofErr w:type="spellEnd"/>
      <w:r w:rsidRPr="007475D7">
        <w:t xml:space="preserve"> to format NR RRC PDUs for the UE configuration.</w:t>
      </w:r>
    </w:p>
    <w:p w14:paraId="1DF88D17" w14:textId="77777777" w:rsidR="007633B1" w:rsidRDefault="007633B1" w:rsidP="007633B1">
      <w:pPr>
        <w:pStyle w:val="BodyText"/>
      </w:pPr>
    </w:p>
    <w:p w14:paraId="6349723C" w14:textId="0577D7B3" w:rsidR="007633B1" w:rsidRDefault="007633B1" w:rsidP="007633B1">
      <w:pPr>
        <w:pStyle w:val="BodyText"/>
      </w:pPr>
      <w:r>
        <w:t>RAN2 NR-AH1</w:t>
      </w:r>
    </w:p>
    <w:p w14:paraId="13B0618F"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709B64CB" w14:textId="22E659D3"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rsidR="000B5A9E">
        <w:tab/>
      </w:r>
      <w:r>
        <w:t xml:space="preserve">Only two nodes (i.e. one LTE </w:t>
      </w:r>
      <w:proofErr w:type="spellStart"/>
      <w:r>
        <w:t>eNB</w:t>
      </w:r>
      <w:proofErr w:type="spellEnd"/>
      <w:r>
        <w:t xml:space="preserve"> and one NR </w:t>
      </w:r>
      <w:proofErr w:type="spellStart"/>
      <w:r>
        <w:t>gNB</w:t>
      </w:r>
      <w:proofErr w:type="spellEnd"/>
      <w:r>
        <w:t>) need to be considered in the LTE/NR capability coordination. The forward compatibility with multiple nodes can also be considered.</w:t>
      </w:r>
    </w:p>
    <w:p w14:paraId="1476A248" w14:textId="2277680E"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w:t>
      </w:r>
      <w:r w:rsidR="000B5A9E">
        <w:tab/>
      </w:r>
      <w:r>
        <w:t>For capabilities for which coordination is needed, then it is up to master node to make the decision on how to resolve the dependency..</w:t>
      </w:r>
    </w:p>
    <w:p w14:paraId="263C523D" w14:textId="497BE4D6"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3: </w:t>
      </w:r>
      <w:r w:rsidR="000B5A9E">
        <w:tab/>
      </w:r>
      <w:r w:rsidRPr="00950088">
        <w:t>For capabilities for which coordination is needed</w:t>
      </w:r>
      <w:r>
        <w:t>, the secondary node is allowed to initiate the re-negotiation of capability, and with the re-negotiation request from secondary node, it is up to master node to make the final decision.</w:t>
      </w:r>
    </w:p>
    <w:p w14:paraId="732BBCD5" w14:textId="77777777" w:rsidR="007633B1" w:rsidRDefault="007633B1" w:rsidP="007633B1">
      <w:pPr>
        <w:pStyle w:val="BodyText"/>
      </w:pPr>
      <w:r>
        <w:lastRenderedPageBreak/>
        <w:t>and</w:t>
      </w:r>
    </w:p>
    <w:p w14:paraId="6FF82CF0"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1EE0F33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 capabilities changes to support EN-DC</w:t>
      </w:r>
    </w:p>
    <w:p w14:paraId="36E0555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LTE </w:t>
      </w:r>
      <w:proofErr w:type="spellStart"/>
      <w:r>
        <w:t>capabilites</w:t>
      </w:r>
      <w:proofErr w:type="spellEnd"/>
      <w:r>
        <w:t xml:space="preserve"> shall include information related to NR measurements </w:t>
      </w:r>
    </w:p>
    <w:p w14:paraId="5736867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LTE </w:t>
      </w:r>
      <w:proofErr w:type="spellStart"/>
      <w:r>
        <w:t>capabilites</w:t>
      </w:r>
      <w:proofErr w:type="spellEnd"/>
      <w:r>
        <w:t xml:space="preserve"> shall include support of EN-DC</w:t>
      </w:r>
    </w:p>
    <w:p w14:paraId="61D1E60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3: Further changes to LTE capabilities are FFS</w:t>
      </w:r>
    </w:p>
    <w:p w14:paraId="4C72E0C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6E270A2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NR capability reporting</w:t>
      </w:r>
    </w:p>
    <w:p w14:paraId="6ABCCF9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 NR shall support independent capabilities reporting (this does not preclude the NR and LTE capabilities indicating dependencies in the capabilities reported)</w:t>
      </w:r>
    </w:p>
    <w:p w14:paraId="687566E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7AFA17A4"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LTE/NR </w:t>
      </w:r>
      <w:proofErr w:type="spellStart"/>
      <w:r>
        <w:t>capabilites</w:t>
      </w:r>
      <w:proofErr w:type="spellEnd"/>
      <w:r>
        <w:t xml:space="preserve"> dependencies to support EN-DC</w:t>
      </w:r>
    </w:p>
    <w:p w14:paraId="6769D95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5: For Type I capabilities (where the use of the capability is isolated to the RAT), no coordination is needed and the NR specific capabilities are just forwarded by the </w:t>
      </w:r>
      <w:proofErr w:type="spellStart"/>
      <w:r>
        <w:t>MeNB</w:t>
      </w:r>
      <w:proofErr w:type="spellEnd"/>
      <w:r>
        <w:t xml:space="preserve"> to the </w:t>
      </w:r>
      <w:proofErr w:type="spellStart"/>
      <w:r>
        <w:t>SgNB</w:t>
      </w:r>
      <w:proofErr w:type="spellEnd"/>
      <w:r>
        <w:t xml:space="preserve"> using LTE DC as a baseline </w:t>
      </w:r>
    </w:p>
    <w:p w14:paraId="62C42563" w14:textId="77777777" w:rsidR="007633B1" w:rsidRDefault="007633B1" w:rsidP="007633B1">
      <w:pPr>
        <w:pStyle w:val="BodyText"/>
      </w:pPr>
    </w:p>
    <w:p w14:paraId="53EF084E" w14:textId="77777777" w:rsidR="003A7EF3" w:rsidRDefault="003A7EF3" w:rsidP="00EC5512">
      <w:pPr>
        <w:pStyle w:val="3GPPHeader"/>
      </w:pPr>
    </w:p>
    <w:p w14:paraId="141E6A89" w14:textId="77777777" w:rsidR="00C608C1" w:rsidRDefault="00C608C1" w:rsidP="00EC5512">
      <w:pPr>
        <w:pStyle w:val="3GPPHeader"/>
      </w:pPr>
    </w:p>
    <w:p w14:paraId="6DE9C735" w14:textId="77777777" w:rsidR="00C608C1" w:rsidRPr="00117344" w:rsidRDefault="00C608C1" w:rsidP="00EC5512">
      <w:pPr>
        <w:pStyle w:val="3GPPHeader"/>
      </w:pPr>
    </w:p>
    <w:sectPr w:rsidR="00C608C1" w:rsidRPr="00117344">
      <w:headerReference w:type="even" r:id="rId19"/>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827618" w15:done="0"/>
  <w15:commentEx w15:paraId="05F97F18" w15:paraIdParent="76827618" w15:done="0"/>
  <w15:commentEx w15:paraId="4F8D5F4F" w15:done="0"/>
  <w15:commentEx w15:paraId="7D8E3E40" w15:done="0"/>
  <w15:commentEx w15:paraId="54F7144F" w15:done="0"/>
  <w15:commentEx w15:paraId="25D30CAB" w15:done="0"/>
  <w15:commentEx w15:paraId="0E12B397" w15:done="0"/>
  <w15:commentEx w15:paraId="47A3550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7A9175" w14:textId="77777777" w:rsidR="00842C4F" w:rsidRDefault="00842C4F">
      <w:r>
        <w:separator/>
      </w:r>
    </w:p>
  </w:endnote>
  <w:endnote w:type="continuationSeparator" w:id="0">
    <w:p w14:paraId="550CBF3F" w14:textId="77777777" w:rsidR="00842C4F" w:rsidRDefault="00842C4F">
      <w:r>
        <w:continuationSeparator/>
      </w:r>
    </w:p>
  </w:endnote>
  <w:endnote w:type="continuationNotice" w:id="1">
    <w:p w14:paraId="711797B0" w14:textId="77777777" w:rsidR="00842C4F" w:rsidRDefault="00842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426B08" w14:textId="525525F2" w:rsidR="00133536" w:rsidRDefault="001335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7691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691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9D8A4" w14:textId="77777777" w:rsidR="00842C4F" w:rsidRDefault="00842C4F">
      <w:r>
        <w:separator/>
      </w:r>
    </w:p>
  </w:footnote>
  <w:footnote w:type="continuationSeparator" w:id="0">
    <w:p w14:paraId="566C53F7" w14:textId="77777777" w:rsidR="00842C4F" w:rsidRDefault="00842C4F">
      <w:r>
        <w:continuationSeparator/>
      </w:r>
    </w:p>
  </w:footnote>
  <w:footnote w:type="continuationNotice" w:id="1">
    <w:p w14:paraId="2536DD25" w14:textId="77777777" w:rsidR="00842C4F" w:rsidRDefault="00842C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C5B39" w14:textId="77777777" w:rsidR="00133536" w:rsidRDefault="001335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59DD2" w14:textId="77777777" w:rsidR="00133536" w:rsidRDefault="001335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38540B6"/>
    <w:multiLevelType w:val="hybridMultilevel"/>
    <w:tmpl w:val="9E5A697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55EBF"/>
    <w:multiLevelType w:val="hybridMultilevel"/>
    <w:tmpl w:val="3C0291F8"/>
    <w:lvl w:ilvl="0" w:tplc="91FABC1E">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18670D1"/>
    <w:multiLevelType w:val="hybridMultilevel"/>
    <w:tmpl w:val="9BD49462"/>
    <w:lvl w:ilvl="0" w:tplc="16E21984">
      <w:start w:val="1"/>
      <w:numFmt w:val="bullet"/>
      <w:lvlText w:val="›"/>
      <w:lvlJc w:val="left"/>
      <w:pPr>
        <w:tabs>
          <w:tab w:val="num" w:pos="720"/>
        </w:tabs>
        <w:ind w:left="720" w:hanging="360"/>
      </w:pPr>
      <w:rPr>
        <w:rFonts w:ascii="Arial" w:hAnsi="Arial" w:hint="default"/>
      </w:rPr>
    </w:lvl>
    <w:lvl w:ilvl="1" w:tplc="3C620A0A">
      <w:numFmt w:val="bullet"/>
      <w:lvlText w:val="–"/>
      <w:lvlJc w:val="left"/>
      <w:pPr>
        <w:tabs>
          <w:tab w:val="num" w:pos="1440"/>
        </w:tabs>
        <w:ind w:left="1440" w:hanging="360"/>
      </w:pPr>
      <w:rPr>
        <w:rFonts w:ascii="Ericsson Capital TT" w:hAnsi="Ericsson Capital TT" w:hint="default"/>
      </w:rPr>
    </w:lvl>
    <w:lvl w:ilvl="2" w:tplc="902698EC" w:tentative="1">
      <w:start w:val="1"/>
      <w:numFmt w:val="bullet"/>
      <w:lvlText w:val="›"/>
      <w:lvlJc w:val="left"/>
      <w:pPr>
        <w:tabs>
          <w:tab w:val="num" w:pos="2160"/>
        </w:tabs>
        <w:ind w:left="2160" w:hanging="360"/>
      </w:pPr>
      <w:rPr>
        <w:rFonts w:ascii="Arial" w:hAnsi="Arial" w:hint="default"/>
      </w:rPr>
    </w:lvl>
    <w:lvl w:ilvl="3" w:tplc="36B87DDA" w:tentative="1">
      <w:start w:val="1"/>
      <w:numFmt w:val="bullet"/>
      <w:lvlText w:val="›"/>
      <w:lvlJc w:val="left"/>
      <w:pPr>
        <w:tabs>
          <w:tab w:val="num" w:pos="2880"/>
        </w:tabs>
        <w:ind w:left="2880" w:hanging="360"/>
      </w:pPr>
      <w:rPr>
        <w:rFonts w:ascii="Arial" w:hAnsi="Arial" w:hint="default"/>
      </w:rPr>
    </w:lvl>
    <w:lvl w:ilvl="4" w:tplc="8DDA51E8" w:tentative="1">
      <w:start w:val="1"/>
      <w:numFmt w:val="bullet"/>
      <w:lvlText w:val="›"/>
      <w:lvlJc w:val="left"/>
      <w:pPr>
        <w:tabs>
          <w:tab w:val="num" w:pos="3600"/>
        </w:tabs>
        <w:ind w:left="3600" w:hanging="360"/>
      </w:pPr>
      <w:rPr>
        <w:rFonts w:ascii="Arial" w:hAnsi="Arial" w:hint="default"/>
      </w:rPr>
    </w:lvl>
    <w:lvl w:ilvl="5" w:tplc="91FCF4E0" w:tentative="1">
      <w:start w:val="1"/>
      <w:numFmt w:val="bullet"/>
      <w:lvlText w:val="›"/>
      <w:lvlJc w:val="left"/>
      <w:pPr>
        <w:tabs>
          <w:tab w:val="num" w:pos="4320"/>
        </w:tabs>
        <w:ind w:left="4320" w:hanging="360"/>
      </w:pPr>
      <w:rPr>
        <w:rFonts w:ascii="Arial" w:hAnsi="Arial" w:hint="default"/>
      </w:rPr>
    </w:lvl>
    <w:lvl w:ilvl="6" w:tplc="E82EBC4A" w:tentative="1">
      <w:start w:val="1"/>
      <w:numFmt w:val="bullet"/>
      <w:lvlText w:val="›"/>
      <w:lvlJc w:val="left"/>
      <w:pPr>
        <w:tabs>
          <w:tab w:val="num" w:pos="5040"/>
        </w:tabs>
        <w:ind w:left="5040" w:hanging="360"/>
      </w:pPr>
      <w:rPr>
        <w:rFonts w:ascii="Arial" w:hAnsi="Arial" w:hint="default"/>
      </w:rPr>
    </w:lvl>
    <w:lvl w:ilvl="7" w:tplc="16A051B4" w:tentative="1">
      <w:start w:val="1"/>
      <w:numFmt w:val="bullet"/>
      <w:lvlText w:val="›"/>
      <w:lvlJc w:val="left"/>
      <w:pPr>
        <w:tabs>
          <w:tab w:val="num" w:pos="5760"/>
        </w:tabs>
        <w:ind w:left="5760" w:hanging="360"/>
      </w:pPr>
      <w:rPr>
        <w:rFonts w:ascii="Arial" w:hAnsi="Arial" w:hint="default"/>
      </w:rPr>
    </w:lvl>
    <w:lvl w:ilvl="8" w:tplc="B7F6D19A" w:tentative="1">
      <w:start w:val="1"/>
      <w:numFmt w:val="bullet"/>
      <w:lvlText w:val="›"/>
      <w:lvlJc w:val="left"/>
      <w:pPr>
        <w:tabs>
          <w:tab w:val="num" w:pos="6480"/>
        </w:tabs>
        <w:ind w:left="6480" w:hanging="360"/>
      </w:pPr>
      <w:rPr>
        <w:rFonts w:ascii="Arial" w:hAnsi="Arial" w:hint="default"/>
      </w:rPr>
    </w:lvl>
  </w:abstractNum>
  <w:abstractNum w:abstractNumId="7">
    <w:nsid w:val="19546D09"/>
    <w:multiLevelType w:val="hybridMultilevel"/>
    <w:tmpl w:val="72F8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476BF3"/>
    <w:multiLevelType w:val="hybridMultilevel"/>
    <w:tmpl w:val="18B6575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C6042"/>
    <w:multiLevelType w:val="hybridMultilevel"/>
    <w:tmpl w:val="B5A40898"/>
    <w:lvl w:ilvl="0" w:tplc="4F1E961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FA5E21"/>
    <w:multiLevelType w:val="hybridMultilevel"/>
    <w:tmpl w:val="C1683E1E"/>
    <w:lvl w:ilvl="0" w:tplc="FFC48EE0">
      <w:start w:val="16"/>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5">
    <w:nsid w:val="35147C3D"/>
    <w:multiLevelType w:val="hybridMultilevel"/>
    <w:tmpl w:val="E7FEBE78"/>
    <w:lvl w:ilvl="0" w:tplc="78A864BC">
      <w:start w:val="1"/>
      <w:numFmt w:val="decimal"/>
      <w:lvlText w:val="Proposal %1"/>
      <w:lvlJc w:val="left"/>
      <w:pPr>
        <w:tabs>
          <w:tab w:val="num" w:pos="1304"/>
        </w:tabs>
        <w:ind w:left="1304" w:hanging="1304"/>
      </w:pPr>
      <w:rPr>
        <w:rFonts w:hint="default"/>
      </w:rPr>
    </w:lvl>
    <w:lvl w:ilvl="1" w:tplc="39BC465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B0E4949"/>
    <w:multiLevelType w:val="hybridMultilevel"/>
    <w:tmpl w:val="660676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3B4B6470"/>
    <w:multiLevelType w:val="hybridMultilevel"/>
    <w:tmpl w:val="2C94AF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256121D"/>
    <w:multiLevelType w:val="hybridMultilevel"/>
    <w:tmpl w:val="0E38DEE0"/>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3FE3649"/>
    <w:multiLevelType w:val="hybridMultilevel"/>
    <w:tmpl w:val="30F4563C"/>
    <w:lvl w:ilvl="0" w:tplc="7824879A">
      <w:start w:val="1"/>
      <w:numFmt w:val="bullet"/>
      <w:lvlText w:val="–"/>
      <w:lvlJc w:val="left"/>
      <w:pPr>
        <w:tabs>
          <w:tab w:val="num" w:pos="720"/>
        </w:tabs>
        <w:ind w:left="720" w:hanging="360"/>
      </w:pPr>
      <w:rPr>
        <w:rFonts w:ascii="Ericsson Capital TT" w:hAnsi="Ericsson Capital TT" w:hint="default"/>
      </w:rPr>
    </w:lvl>
    <w:lvl w:ilvl="1" w:tplc="AA2E309C">
      <w:start w:val="1"/>
      <w:numFmt w:val="bullet"/>
      <w:lvlText w:val="–"/>
      <w:lvlJc w:val="left"/>
      <w:pPr>
        <w:tabs>
          <w:tab w:val="num" w:pos="1440"/>
        </w:tabs>
        <w:ind w:left="1440" w:hanging="360"/>
      </w:pPr>
      <w:rPr>
        <w:rFonts w:ascii="Ericsson Capital TT" w:hAnsi="Ericsson Capital TT" w:hint="default"/>
      </w:rPr>
    </w:lvl>
    <w:lvl w:ilvl="2" w:tplc="8DCC4DC8">
      <w:start w:val="4"/>
      <w:numFmt w:val="bullet"/>
      <w:lvlText w:val="-"/>
      <w:lvlJc w:val="left"/>
      <w:pPr>
        <w:ind w:left="2160" w:hanging="360"/>
      </w:pPr>
      <w:rPr>
        <w:rFonts w:ascii="Arial" w:eastAsia="Times New Roman" w:hAnsi="Arial" w:cs="Arial" w:hint="default"/>
      </w:rPr>
    </w:lvl>
    <w:lvl w:ilvl="3" w:tplc="C21AECB8" w:tentative="1">
      <w:start w:val="1"/>
      <w:numFmt w:val="bullet"/>
      <w:lvlText w:val="–"/>
      <w:lvlJc w:val="left"/>
      <w:pPr>
        <w:tabs>
          <w:tab w:val="num" w:pos="2880"/>
        </w:tabs>
        <w:ind w:left="2880" w:hanging="360"/>
      </w:pPr>
      <w:rPr>
        <w:rFonts w:ascii="Ericsson Capital TT" w:hAnsi="Ericsson Capital TT" w:hint="default"/>
      </w:rPr>
    </w:lvl>
    <w:lvl w:ilvl="4" w:tplc="D6C4CF4E" w:tentative="1">
      <w:start w:val="1"/>
      <w:numFmt w:val="bullet"/>
      <w:lvlText w:val="–"/>
      <w:lvlJc w:val="left"/>
      <w:pPr>
        <w:tabs>
          <w:tab w:val="num" w:pos="3600"/>
        </w:tabs>
        <w:ind w:left="3600" w:hanging="360"/>
      </w:pPr>
      <w:rPr>
        <w:rFonts w:ascii="Ericsson Capital TT" w:hAnsi="Ericsson Capital TT" w:hint="default"/>
      </w:rPr>
    </w:lvl>
    <w:lvl w:ilvl="5" w:tplc="942E205A" w:tentative="1">
      <w:start w:val="1"/>
      <w:numFmt w:val="bullet"/>
      <w:lvlText w:val="–"/>
      <w:lvlJc w:val="left"/>
      <w:pPr>
        <w:tabs>
          <w:tab w:val="num" w:pos="4320"/>
        </w:tabs>
        <w:ind w:left="4320" w:hanging="360"/>
      </w:pPr>
      <w:rPr>
        <w:rFonts w:ascii="Ericsson Capital TT" w:hAnsi="Ericsson Capital TT" w:hint="default"/>
      </w:rPr>
    </w:lvl>
    <w:lvl w:ilvl="6" w:tplc="7B26068E" w:tentative="1">
      <w:start w:val="1"/>
      <w:numFmt w:val="bullet"/>
      <w:lvlText w:val="–"/>
      <w:lvlJc w:val="left"/>
      <w:pPr>
        <w:tabs>
          <w:tab w:val="num" w:pos="5040"/>
        </w:tabs>
        <w:ind w:left="5040" w:hanging="360"/>
      </w:pPr>
      <w:rPr>
        <w:rFonts w:ascii="Ericsson Capital TT" w:hAnsi="Ericsson Capital TT" w:hint="default"/>
      </w:rPr>
    </w:lvl>
    <w:lvl w:ilvl="7" w:tplc="D898D766" w:tentative="1">
      <w:start w:val="1"/>
      <w:numFmt w:val="bullet"/>
      <w:lvlText w:val="–"/>
      <w:lvlJc w:val="left"/>
      <w:pPr>
        <w:tabs>
          <w:tab w:val="num" w:pos="5760"/>
        </w:tabs>
        <w:ind w:left="5760" w:hanging="360"/>
      </w:pPr>
      <w:rPr>
        <w:rFonts w:ascii="Ericsson Capital TT" w:hAnsi="Ericsson Capital TT" w:hint="default"/>
      </w:rPr>
    </w:lvl>
    <w:lvl w:ilvl="8" w:tplc="0470AF8A" w:tentative="1">
      <w:start w:val="1"/>
      <w:numFmt w:val="bullet"/>
      <w:lvlText w:val="–"/>
      <w:lvlJc w:val="left"/>
      <w:pPr>
        <w:tabs>
          <w:tab w:val="num" w:pos="6480"/>
        </w:tabs>
        <w:ind w:left="6480" w:hanging="360"/>
      </w:pPr>
      <w:rPr>
        <w:rFonts w:ascii="Ericsson Capital TT" w:hAnsi="Ericsson Capital TT" w:hint="default"/>
      </w:rPr>
    </w:lvl>
  </w:abstractNum>
  <w:abstractNum w:abstractNumId="24">
    <w:nsid w:val="446A518E"/>
    <w:multiLevelType w:val="hybridMultilevel"/>
    <w:tmpl w:val="F1B44CC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5A42F0"/>
    <w:multiLevelType w:val="hybridMultilevel"/>
    <w:tmpl w:val="56F8E3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E807AC"/>
    <w:multiLevelType w:val="hybridMultilevel"/>
    <w:tmpl w:val="F0D00D16"/>
    <w:lvl w:ilvl="0" w:tplc="77707B7C">
      <w:start w:val="1"/>
      <w:numFmt w:val="bullet"/>
      <w:lvlText w:val="›"/>
      <w:lvlJc w:val="left"/>
      <w:pPr>
        <w:tabs>
          <w:tab w:val="num" w:pos="720"/>
        </w:tabs>
        <w:ind w:left="720" w:hanging="360"/>
      </w:pPr>
      <w:rPr>
        <w:rFonts w:ascii="Arial" w:hAnsi="Arial" w:hint="default"/>
      </w:rPr>
    </w:lvl>
    <w:lvl w:ilvl="1" w:tplc="A41EB454">
      <w:numFmt w:val="bullet"/>
      <w:lvlText w:val="–"/>
      <w:lvlJc w:val="left"/>
      <w:pPr>
        <w:tabs>
          <w:tab w:val="num" w:pos="1440"/>
        </w:tabs>
        <w:ind w:left="1440" w:hanging="360"/>
      </w:pPr>
      <w:rPr>
        <w:rFonts w:ascii="Ericsson Capital TT" w:hAnsi="Ericsson Capital TT" w:hint="default"/>
      </w:rPr>
    </w:lvl>
    <w:lvl w:ilvl="2" w:tplc="75C8E616" w:tentative="1">
      <w:start w:val="1"/>
      <w:numFmt w:val="bullet"/>
      <w:lvlText w:val="›"/>
      <w:lvlJc w:val="left"/>
      <w:pPr>
        <w:tabs>
          <w:tab w:val="num" w:pos="2160"/>
        </w:tabs>
        <w:ind w:left="2160" w:hanging="360"/>
      </w:pPr>
      <w:rPr>
        <w:rFonts w:ascii="Arial" w:hAnsi="Arial" w:hint="default"/>
      </w:rPr>
    </w:lvl>
    <w:lvl w:ilvl="3" w:tplc="8EFCF44A" w:tentative="1">
      <w:start w:val="1"/>
      <w:numFmt w:val="bullet"/>
      <w:lvlText w:val="›"/>
      <w:lvlJc w:val="left"/>
      <w:pPr>
        <w:tabs>
          <w:tab w:val="num" w:pos="2880"/>
        </w:tabs>
        <w:ind w:left="2880" w:hanging="360"/>
      </w:pPr>
      <w:rPr>
        <w:rFonts w:ascii="Arial" w:hAnsi="Arial" w:hint="default"/>
      </w:rPr>
    </w:lvl>
    <w:lvl w:ilvl="4" w:tplc="3C6A02DC" w:tentative="1">
      <w:start w:val="1"/>
      <w:numFmt w:val="bullet"/>
      <w:lvlText w:val="›"/>
      <w:lvlJc w:val="left"/>
      <w:pPr>
        <w:tabs>
          <w:tab w:val="num" w:pos="3600"/>
        </w:tabs>
        <w:ind w:left="3600" w:hanging="360"/>
      </w:pPr>
      <w:rPr>
        <w:rFonts w:ascii="Arial" w:hAnsi="Arial" w:hint="default"/>
      </w:rPr>
    </w:lvl>
    <w:lvl w:ilvl="5" w:tplc="27205DC8" w:tentative="1">
      <w:start w:val="1"/>
      <w:numFmt w:val="bullet"/>
      <w:lvlText w:val="›"/>
      <w:lvlJc w:val="left"/>
      <w:pPr>
        <w:tabs>
          <w:tab w:val="num" w:pos="4320"/>
        </w:tabs>
        <w:ind w:left="4320" w:hanging="360"/>
      </w:pPr>
      <w:rPr>
        <w:rFonts w:ascii="Arial" w:hAnsi="Arial" w:hint="default"/>
      </w:rPr>
    </w:lvl>
    <w:lvl w:ilvl="6" w:tplc="32D6C2B6" w:tentative="1">
      <w:start w:val="1"/>
      <w:numFmt w:val="bullet"/>
      <w:lvlText w:val="›"/>
      <w:lvlJc w:val="left"/>
      <w:pPr>
        <w:tabs>
          <w:tab w:val="num" w:pos="5040"/>
        </w:tabs>
        <w:ind w:left="5040" w:hanging="360"/>
      </w:pPr>
      <w:rPr>
        <w:rFonts w:ascii="Arial" w:hAnsi="Arial" w:hint="default"/>
      </w:rPr>
    </w:lvl>
    <w:lvl w:ilvl="7" w:tplc="4348B092" w:tentative="1">
      <w:start w:val="1"/>
      <w:numFmt w:val="bullet"/>
      <w:lvlText w:val="›"/>
      <w:lvlJc w:val="left"/>
      <w:pPr>
        <w:tabs>
          <w:tab w:val="num" w:pos="5760"/>
        </w:tabs>
        <w:ind w:left="5760" w:hanging="360"/>
      </w:pPr>
      <w:rPr>
        <w:rFonts w:ascii="Arial" w:hAnsi="Arial" w:hint="default"/>
      </w:rPr>
    </w:lvl>
    <w:lvl w:ilvl="8" w:tplc="464C2D32" w:tentative="1">
      <w:start w:val="1"/>
      <w:numFmt w:val="bullet"/>
      <w:lvlText w:val="›"/>
      <w:lvlJc w:val="left"/>
      <w:pPr>
        <w:tabs>
          <w:tab w:val="num" w:pos="6480"/>
        </w:tabs>
        <w:ind w:left="6480" w:hanging="360"/>
      </w:pPr>
      <w:rPr>
        <w:rFonts w:ascii="Arial" w:hAnsi="Arial" w:hint="default"/>
      </w:rPr>
    </w:lvl>
  </w:abstractNum>
  <w:abstractNum w:abstractNumId="29">
    <w:nsid w:val="54307611"/>
    <w:multiLevelType w:val="hybridMultilevel"/>
    <w:tmpl w:val="5AF61068"/>
    <w:lvl w:ilvl="0" w:tplc="FFFFFFFF">
      <w:start w:val="1"/>
      <w:numFmt w:val="bullet"/>
      <w:pStyle w:val="BoldComments"/>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9AB3401"/>
    <w:multiLevelType w:val="hybridMultilevel"/>
    <w:tmpl w:val="70F8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4B1B01"/>
    <w:multiLevelType w:val="hybridMultilevel"/>
    <w:tmpl w:val="4678E62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3">
    <w:nsid w:val="735273AA"/>
    <w:multiLevelType w:val="multilevel"/>
    <w:tmpl w:val="28361EF0"/>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4">
    <w:nsid w:val="73FC4AA6"/>
    <w:multiLevelType w:val="hybridMultilevel"/>
    <w:tmpl w:val="F404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A514F29"/>
    <w:multiLevelType w:val="hybridMultilevel"/>
    <w:tmpl w:val="60064E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D016842"/>
    <w:multiLevelType w:val="hybridMultilevel"/>
    <w:tmpl w:val="F6665E3E"/>
    <w:lvl w:ilvl="0" w:tplc="39BC4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7"/>
  </w:num>
  <w:num w:numId="4">
    <w:abstractNumId w:val="20"/>
  </w:num>
  <w:num w:numId="5">
    <w:abstractNumId w:val="12"/>
  </w:num>
  <w:num w:numId="6">
    <w:abstractNumId w:val="22"/>
  </w:num>
  <w:num w:numId="7">
    <w:abstractNumId w:val="30"/>
  </w:num>
  <w:num w:numId="8">
    <w:abstractNumId w:val="13"/>
  </w:num>
  <w:num w:numId="9">
    <w:abstractNumId w:val="10"/>
  </w:num>
  <w:num w:numId="10">
    <w:abstractNumId w:val="2"/>
  </w:num>
  <w:num w:numId="11">
    <w:abstractNumId w:val="1"/>
  </w:num>
  <w:num w:numId="12">
    <w:abstractNumId w:val="0"/>
  </w:num>
  <w:num w:numId="13">
    <w:abstractNumId w:val="27"/>
  </w:num>
  <w:num w:numId="14">
    <w:abstractNumId w:val="33"/>
  </w:num>
  <w:num w:numId="15">
    <w:abstractNumId w:val="4"/>
  </w:num>
  <w:num w:numId="16">
    <w:abstractNumId w:val="36"/>
  </w:num>
  <w:num w:numId="17">
    <w:abstractNumId w:val="24"/>
  </w:num>
  <w:num w:numId="18">
    <w:abstractNumId w:val="31"/>
  </w:num>
  <w:num w:numId="19">
    <w:abstractNumId w:val="34"/>
  </w:num>
  <w:num w:numId="20">
    <w:abstractNumId w:val="15"/>
  </w:num>
  <w:num w:numId="21">
    <w:abstractNumId w:val="7"/>
  </w:num>
  <w:num w:numId="22">
    <w:abstractNumId w:val="21"/>
  </w:num>
  <w:num w:numId="23">
    <w:abstractNumId w:val="35"/>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25"/>
  </w:num>
  <w:num w:numId="28">
    <w:abstractNumId w:val="23"/>
  </w:num>
  <w:num w:numId="29">
    <w:abstractNumId w:val="5"/>
  </w:num>
  <w:num w:numId="30">
    <w:abstractNumId w:val="28"/>
  </w:num>
  <w:num w:numId="31">
    <w:abstractNumId w:val="6"/>
  </w:num>
  <w:num w:numId="32">
    <w:abstractNumId w:val="9"/>
  </w:num>
  <w:num w:numId="33">
    <w:abstractNumId w:val="11"/>
  </w:num>
  <w:num w:numId="34">
    <w:abstractNumId w:val="14"/>
  </w:num>
  <w:num w:numId="35">
    <w:abstractNumId w:val="32"/>
  </w:num>
  <w:num w:numId="36">
    <w:abstractNumId w:val="16"/>
  </w:num>
  <w:num w:numId="37">
    <w:abstractNumId w:val="2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edhwm">
    <w15:presenceInfo w15:providerId="None" w15:userId="eedhw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4FA0"/>
    <w:rsid w:val="00015D15"/>
    <w:rsid w:val="0001619B"/>
    <w:rsid w:val="00017B1A"/>
    <w:rsid w:val="00020C69"/>
    <w:rsid w:val="00022AA5"/>
    <w:rsid w:val="00023DC0"/>
    <w:rsid w:val="0002564D"/>
    <w:rsid w:val="00025ECA"/>
    <w:rsid w:val="00027939"/>
    <w:rsid w:val="000309C4"/>
    <w:rsid w:val="000325B8"/>
    <w:rsid w:val="00034C15"/>
    <w:rsid w:val="00036099"/>
    <w:rsid w:val="00036BA1"/>
    <w:rsid w:val="000422E2"/>
    <w:rsid w:val="00042F22"/>
    <w:rsid w:val="00043856"/>
    <w:rsid w:val="00043A71"/>
    <w:rsid w:val="000444EF"/>
    <w:rsid w:val="0005010D"/>
    <w:rsid w:val="00052A07"/>
    <w:rsid w:val="000534E3"/>
    <w:rsid w:val="0005606A"/>
    <w:rsid w:val="00057117"/>
    <w:rsid w:val="000576C4"/>
    <w:rsid w:val="0006063C"/>
    <w:rsid w:val="000616E7"/>
    <w:rsid w:val="00061812"/>
    <w:rsid w:val="0006487E"/>
    <w:rsid w:val="00065E1A"/>
    <w:rsid w:val="0007430B"/>
    <w:rsid w:val="000750DA"/>
    <w:rsid w:val="00077E5F"/>
    <w:rsid w:val="0008036A"/>
    <w:rsid w:val="00081AE6"/>
    <w:rsid w:val="00083755"/>
    <w:rsid w:val="000855EB"/>
    <w:rsid w:val="00085B52"/>
    <w:rsid w:val="00085E49"/>
    <w:rsid w:val="000866F2"/>
    <w:rsid w:val="000875FA"/>
    <w:rsid w:val="0009009F"/>
    <w:rsid w:val="00091557"/>
    <w:rsid w:val="000924C1"/>
    <w:rsid w:val="000924F0"/>
    <w:rsid w:val="00092919"/>
    <w:rsid w:val="00093474"/>
    <w:rsid w:val="0009510F"/>
    <w:rsid w:val="000A0188"/>
    <w:rsid w:val="000A0E65"/>
    <w:rsid w:val="000A1B7B"/>
    <w:rsid w:val="000A3A56"/>
    <w:rsid w:val="000A4C8E"/>
    <w:rsid w:val="000A56F2"/>
    <w:rsid w:val="000B05EB"/>
    <w:rsid w:val="000B2719"/>
    <w:rsid w:val="000B3697"/>
    <w:rsid w:val="000B3A8F"/>
    <w:rsid w:val="000B3BDC"/>
    <w:rsid w:val="000B4AB9"/>
    <w:rsid w:val="000B58C3"/>
    <w:rsid w:val="000B5A9E"/>
    <w:rsid w:val="000B61E9"/>
    <w:rsid w:val="000C165A"/>
    <w:rsid w:val="000C2DA7"/>
    <w:rsid w:val="000C2E19"/>
    <w:rsid w:val="000D0D07"/>
    <w:rsid w:val="000D4797"/>
    <w:rsid w:val="000D56BF"/>
    <w:rsid w:val="000D5E0D"/>
    <w:rsid w:val="000D7939"/>
    <w:rsid w:val="000E0527"/>
    <w:rsid w:val="000E1BD1"/>
    <w:rsid w:val="000E1E92"/>
    <w:rsid w:val="000E6672"/>
    <w:rsid w:val="000E6768"/>
    <w:rsid w:val="000F02CF"/>
    <w:rsid w:val="000F06D6"/>
    <w:rsid w:val="000F0DFE"/>
    <w:rsid w:val="000F0EB1"/>
    <w:rsid w:val="000F1106"/>
    <w:rsid w:val="000F3BE9"/>
    <w:rsid w:val="000F3F6C"/>
    <w:rsid w:val="000F6DF3"/>
    <w:rsid w:val="00100481"/>
    <w:rsid w:val="001005FF"/>
    <w:rsid w:val="00103E5A"/>
    <w:rsid w:val="00105455"/>
    <w:rsid w:val="001062FB"/>
    <w:rsid w:val="001063E6"/>
    <w:rsid w:val="00110B80"/>
    <w:rsid w:val="00113CF4"/>
    <w:rsid w:val="001153EA"/>
    <w:rsid w:val="00115643"/>
    <w:rsid w:val="00116765"/>
    <w:rsid w:val="00117344"/>
    <w:rsid w:val="001219F5"/>
    <w:rsid w:val="00121A20"/>
    <w:rsid w:val="00122F2E"/>
    <w:rsid w:val="0012377F"/>
    <w:rsid w:val="00124314"/>
    <w:rsid w:val="00125C12"/>
    <w:rsid w:val="00126B4A"/>
    <w:rsid w:val="00130C4F"/>
    <w:rsid w:val="00130F2E"/>
    <w:rsid w:val="00132FD0"/>
    <w:rsid w:val="00133536"/>
    <w:rsid w:val="001344C0"/>
    <w:rsid w:val="001346FA"/>
    <w:rsid w:val="00135252"/>
    <w:rsid w:val="00137AB5"/>
    <w:rsid w:val="00137F0B"/>
    <w:rsid w:val="001418A9"/>
    <w:rsid w:val="00151E23"/>
    <w:rsid w:val="001526E0"/>
    <w:rsid w:val="001527CC"/>
    <w:rsid w:val="001534C6"/>
    <w:rsid w:val="0015463F"/>
    <w:rsid w:val="001551B5"/>
    <w:rsid w:val="00157859"/>
    <w:rsid w:val="001606AE"/>
    <w:rsid w:val="001643A8"/>
    <w:rsid w:val="001659C1"/>
    <w:rsid w:val="00170FE3"/>
    <w:rsid w:val="00173A8E"/>
    <w:rsid w:val="001762B0"/>
    <w:rsid w:val="00176915"/>
    <w:rsid w:val="00177795"/>
    <w:rsid w:val="0018143F"/>
    <w:rsid w:val="00190AC1"/>
    <w:rsid w:val="0019341A"/>
    <w:rsid w:val="00194FD6"/>
    <w:rsid w:val="00195652"/>
    <w:rsid w:val="00197DF9"/>
    <w:rsid w:val="001A1987"/>
    <w:rsid w:val="001A2564"/>
    <w:rsid w:val="001A2BD8"/>
    <w:rsid w:val="001A34AF"/>
    <w:rsid w:val="001A419D"/>
    <w:rsid w:val="001A6173"/>
    <w:rsid w:val="001A6CBA"/>
    <w:rsid w:val="001A7919"/>
    <w:rsid w:val="001B0D97"/>
    <w:rsid w:val="001B201D"/>
    <w:rsid w:val="001B556C"/>
    <w:rsid w:val="001B5A5D"/>
    <w:rsid w:val="001C1CE5"/>
    <w:rsid w:val="001C2734"/>
    <w:rsid w:val="001C3D2A"/>
    <w:rsid w:val="001C6495"/>
    <w:rsid w:val="001C6B7C"/>
    <w:rsid w:val="001D51BA"/>
    <w:rsid w:val="001D6342"/>
    <w:rsid w:val="001D6D53"/>
    <w:rsid w:val="001E58E2"/>
    <w:rsid w:val="001E7AED"/>
    <w:rsid w:val="001F0934"/>
    <w:rsid w:val="001F3916"/>
    <w:rsid w:val="001F4CF1"/>
    <w:rsid w:val="001F4DF1"/>
    <w:rsid w:val="001F54C5"/>
    <w:rsid w:val="001F5B52"/>
    <w:rsid w:val="001F662C"/>
    <w:rsid w:val="001F7074"/>
    <w:rsid w:val="001F7E8D"/>
    <w:rsid w:val="00200490"/>
    <w:rsid w:val="00201F3A"/>
    <w:rsid w:val="00203F96"/>
    <w:rsid w:val="002069B2"/>
    <w:rsid w:val="00206AC1"/>
    <w:rsid w:val="00207FA3"/>
    <w:rsid w:val="002106DE"/>
    <w:rsid w:val="00211867"/>
    <w:rsid w:val="00214DA8"/>
    <w:rsid w:val="00215423"/>
    <w:rsid w:val="002158FA"/>
    <w:rsid w:val="00215AB7"/>
    <w:rsid w:val="002174A2"/>
    <w:rsid w:val="00220600"/>
    <w:rsid w:val="002224DB"/>
    <w:rsid w:val="00223744"/>
    <w:rsid w:val="00223FCB"/>
    <w:rsid w:val="002252C3"/>
    <w:rsid w:val="00225C54"/>
    <w:rsid w:val="00230765"/>
    <w:rsid w:val="002319E4"/>
    <w:rsid w:val="00234505"/>
    <w:rsid w:val="002355BB"/>
    <w:rsid w:val="00235632"/>
    <w:rsid w:val="00235872"/>
    <w:rsid w:val="00241559"/>
    <w:rsid w:val="002435B3"/>
    <w:rsid w:val="00244BB4"/>
    <w:rsid w:val="00245487"/>
    <w:rsid w:val="002458EB"/>
    <w:rsid w:val="00246DBB"/>
    <w:rsid w:val="002500C8"/>
    <w:rsid w:val="00255203"/>
    <w:rsid w:val="00257543"/>
    <w:rsid w:val="00257914"/>
    <w:rsid w:val="002617E7"/>
    <w:rsid w:val="00261FC8"/>
    <w:rsid w:val="00264228"/>
    <w:rsid w:val="00264334"/>
    <w:rsid w:val="0026473E"/>
    <w:rsid w:val="0026498A"/>
    <w:rsid w:val="00266214"/>
    <w:rsid w:val="002674F5"/>
    <w:rsid w:val="00267AC0"/>
    <w:rsid w:val="00267C83"/>
    <w:rsid w:val="0027144F"/>
    <w:rsid w:val="00271855"/>
    <w:rsid w:val="00271F3A"/>
    <w:rsid w:val="00273278"/>
    <w:rsid w:val="002737F4"/>
    <w:rsid w:val="002805F5"/>
    <w:rsid w:val="00280751"/>
    <w:rsid w:val="00281175"/>
    <w:rsid w:val="0028280A"/>
    <w:rsid w:val="00286ACD"/>
    <w:rsid w:val="00287838"/>
    <w:rsid w:val="00290404"/>
    <w:rsid w:val="00290565"/>
    <w:rsid w:val="002907B5"/>
    <w:rsid w:val="00292EB7"/>
    <w:rsid w:val="00293F01"/>
    <w:rsid w:val="00296227"/>
    <w:rsid w:val="00296408"/>
    <w:rsid w:val="00296F44"/>
    <w:rsid w:val="0029777D"/>
    <w:rsid w:val="002A055E"/>
    <w:rsid w:val="002A1D4E"/>
    <w:rsid w:val="002A2869"/>
    <w:rsid w:val="002A3FD7"/>
    <w:rsid w:val="002A6D74"/>
    <w:rsid w:val="002A6FE6"/>
    <w:rsid w:val="002B24D6"/>
    <w:rsid w:val="002C41E6"/>
    <w:rsid w:val="002C6E51"/>
    <w:rsid w:val="002C7AED"/>
    <w:rsid w:val="002D071A"/>
    <w:rsid w:val="002D34B2"/>
    <w:rsid w:val="002D515E"/>
    <w:rsid w:val="002D7637"/>
    <w:rsid w:val="002D7725"/>
    <w:rsid w:val="002E17F2"/>
    <w:rsid w:val="002E1B5C"/>
    <w:rsid w:val="002E3F1A"/>
    <w:rsid w:val="002E7CAE"/>
    <w:rsid w:val="002F2771"/>
    <w:rsid w:val="002F37A9"/>
    <w:rsid w:val="002F6BA5"/>
    <w:rsid w:val="00301CE6"/>
    <w:rsid w:val="0030256B"/>
    <w:rsid w:val="0030268D"/>
    <w:rsid w:val="0030501F"/>
    <w:rsid w:val="00307247"/>
    <w:rsid w:val="00307BA1"/>
    <w:rsid w:val="00311702"/>
    <w:rsid w:val="00311E82"/>
    <w:rsid w:val="0031299F"/>
    <w:rsid w:val="003137C3"/>
    <w:rsid w:val="00313FD6"/>
    <w:rsid w:val="003143BD"/>
    <w:rsid w:val="00314896"/>
    <w:rsid w:val="00320337"/>
    <w:rsid w:val="003203ED"/>
    <w:rsid w:val="00321EF3"/>
    <w:rsid w:val="00322C9F"/>
    <w:rsid w:val="00324D23"/>
    <w:rsid w:val="00331751"/>
    <w:rsid w:val="003322A5"/>
    <w:rsid w:val="00332735"/>
    <w:rsid w:val="00334579"/>
    <w:rsid w:val="00335858"/>
    <w:rsid w:val="00335E40"/>
    <w:rsid w:val="0033621D"/>
    <w:rsid w:val="00336BDA"/>
    <w:rsid w:val="003374E8"/>
    <w:rsid w:val="00342BD7"/>
    <w:rsid w:val="00343A07"/>
    <w:rsid w:val="00346DB5"/>
    <w:rsid w:val="003477B1"/>
    <w:rsid w:val="0035482C"/>
    <w:rsid w:val="00357177"/>
    <w:rsid w:val="00357380"/>
    <w:rsid w:val="003602D9"/>
    <w:rsid w:val="003604CE"/>
    <w:rsid w:val="00367514"/>
    <w:rsid w:val="00370E47"/>
    <w:rsid w:val="003742AC"/>
    <w:rsid w:val="00377CE1"/>
    <w:rsid w:val="003838D4"/>
    <w:rsid w:val="003848DC"/>
    <w:rsid w:val="00385523"/>
    <w:rsid w:val="00385BF0"/>
    <w:rsid w:val="00387F4D"/>
    <w:rsid w:val="00391C89"/>
    <w:rsid w:val="003939FF"/>
    <w:rsid w:val="003A0BAF"/>
    <w:rsid w:val="003A2223"/>
    <w:rsid w:val="003A2A0F"/>
    <w:rsid w:val="003A45A1"/>
    <w:rsid w:val="003A5B0A"/>
    <w:rsid w:val="003A6BAC"/>
    <w:rsid w:val="003A7EF3"/>
    <w:rsid w:val="003B159C"/>
    <w:rsid w:val="003B2730"/>
    <w:rsid w:val="003B2F02"/>
    <w:rsid w:val="003B369F"/>
    <w:rsid w:val="003B36A3"/>
    <w:rsid w:val="003B7721"/>
    <w:rsid w:val="003B79DC"/>
    <w:rsid w:val="003B7B16"/>
    <w:rsid w:val="003B7C14"/>
    <w:rsid w:val="003B7FE5"/>
    <w:rsid w:val="003C11C8"/>
    <w:rsid w:val="003C2702"/>
    <w:rsid w:val="003C7806"/>
    <w:rsid w:val="003D0B75"/>
    <w:rsid w:val="003D109F"/>
    <w:rsid w:val="003D2478"/>
    <w:rsid w:val="003D2FC4"/>
    <w:rsid w:val="003D3C45"/>
    <w:rsid w:val="003D5B1F"/>
    <w:rsid w:val="003D7578"/>
    <w:rsid w:val="003E15FA"/>
    <w:rsid w:val="003E55E4"/>
    <w:rsid w:val="003E57A4"/>
    <w:rsid w:val="003E74E3"/>
    <w:rsid w:val="003F05C7"/>
    <w:rsid w:val="003F2CD4"/>
    <w:rsid w:val="003F6BBE"/>
    <w:rsid w:val="003F711D"/>
    <w:rsid w:val="004000E8"/>
    <w:rsid w:val="00400A34"/>
    <w:rsid w:val="0040158F"/>
    <w:rsid w:val="00402E2B"/>
    <w:rsid w:val="0040403F"/>
    <w:rsid w:val="004042F9"/>
    <w:rsid w:val="0040512B"/>
    <w:rsid w:val="00405CA5"/>
    <w:rsid w:val="00406CB8"/>
    <w:rsid w:val="00407CD3"/>
    <w:rsid w:val="00410134"/>
    <w:rsid w:val="00410B72"/>
    <w:rsid w:val="00410F18"/>
    <w:rsid w:val="0041263E"/>
    <w:rsid w:val="00413AAC"/>
    <w:rsid w:val="00415630"/>
    <w:rsid w:val="00420757"/>
    <w:rsid w:val="00421105"/>
    <w:rsid w:val="004235E5"/>
    <w:rsid w:val="004242F4"/>
    <w:rsid w:val="00424985"/>
    <w:rsid w:val="00427248"/>
    <w:rsid w:val="00437447"/>
    <w:rsid w:val="00441A92"/>
    <w:rsid w:val="004448F0"/>
    <w:rsid w:val="00444F56"/>
    <w:rsid w:val="00446488"/>
    <w:rsid w:val="004517AA"/>
    <w:rsid w:val="004529DB"/>
    <w:rsid w:val="00452CAC"/>
    <w:rsid w:val="00457565"/>
    <w:rsid w:val="00457B71"/>
    <w:rsid w:val="00462113"/>
    <w:rsid w:val="00465F3A"/>
    <w:rsid w:val="004669E2"/>
    <w:rsid w:val="00470C31"/>
    <w:rsid w:val="004734D0"/>
    <w:rsid w:val="004737B8"/>
    <w:rsid w:val="0047556B"/>
    <w:rsid w:val="00475D98"/>
    <w:rsid w:val="00476728"/>
    <w:rsid w:val="00477768"/>
    <w:rsid w:val="00480949"/>
    <w:rsid w:val="00490BD6"/>
    <w:rsid w:val="004922E6"/>
    <w:rsid w:val="00492BC5"/>
    <w:rsid w:val="004949CF"/>
    <w:rsid w:val="004964F1"/>
    <w:rsid w:val="004A16BC"/>
    <w:rsid w:val="004A2B94"/>
    <w:rsid w:val="004A4F00"/>
    <w:rsid w:val="004B6E8A"/>
    <w:rsid w:val="004B7C0C"/>
    <w:rsid w:val="004C36FA"/>
    <w:rsid w:val="004C3898"/>
    <w:rsid w:val="004C618D"/>
    <w:rsid w:val="004C6D6D"/>
    <w:rsid w:val="004C70F7"/>
    <w:rsid w:val="004D36B1"/>
    <w:rsid w:val="004D4619"/>
    <w:rsid w:val="004D7EBD"/>
    <w:rsid w:val="004E018B"/>
    <w:rsid w:val="004E1455"/>
    <w:rsid w:val="004E21DD"/>
    <w:rsid w:val="004E2680"/>
    <w:rsid w:val="004E28F9"/>
    <w:rsid w:val="004E3769"/>
    <w:rsid w:val="004E462E"/>
    <w:rsid w:val="004E4D74"/>
    <w:rsid w:val="004E56DC"/>
    <w:rsid w:val="004E76F4"/>
    <w:rsid w:val="004F04B3"/>
    <w:rsid w:val="004F0B4E"/>
    <w:rsid w:val="004F0B6C"/>
    <w:rsid w:val="004F2078"/>
    <w:rsid w:val="004F4DA3"/>
    <w:rsid w:val="004F5A73"/>
    <w:rsid w:val="0050048C"/>
    <w:rsid w:val="00506557"/>
    <w:rsid w:val="0050677A"/>
    <w:rsid w:val="00510788"/>
    <w:rsid w:val="005108D8"/>
    <w:rsid w:val="005116F9"/>
    <w:rsid w:val="005153A7"/>
    <w:rsid w:val="00517309"/>
    <w:rsid w:val="005219CF"/>
    <w:rsid w:val="0052268A"/>
    <w:rsid w:val="005232FE"/>
    <w:rsid w:val="00527D86"/>
    <w:rsid w:val="00534B59"/>
    <w:rsid w:val="00536759"/>
    <w:rsid w:val="00537C62"/>
    <w:rsid w:val="00546970"/>
    <w:rsid w:val="00553FA0"/>
    <w:rsid w:val="00554E19"/>
    <w:rsid w:val="0056121F"/>
    <w:rsid w:val="00567E66"/>
    <w:rsid w:val="00572505"/>
    <w:rsid w:val="00582809"/>
    <w:rsid w:val="00582A9B"/>
    <w:rsid w:val="00586815"/>
    <w:rsid w:val="0058798C"/>
    <w:rsid w:val="005900FA"/>
    <w:rsid w:val="00592D4F"/>
    <w:rsid w:val="005935A4"/>
    <w:rsid w:val="005948C2"/>
    <w:rsid w:val="00595DCA"/>
    <w:rsid w:val="0059779B"/>
    <w:rsid w:val="005A0C2A"/>
    <w:rsid w:val="005A209A"/>
    <w:rsid w:val="005A3419"/>
    <w:rsid w:val="005A662D"/>
    <w:rsid w:val="005A7CAC"/>
    <w:rsid w:val="005B35D7"/>
    <w:rsid w:val="005B392A"/>
    <w:rsid w:val="005B3AA3"/>
    <w:rsid w:val="005B48BD"/>
    <w:rsid w:val="005B6F83"/>
    <w:rsid w:val="005C6CAB"/>
    <w:rsid w:val="005C74FB"/>
    <w:rsid w:val="005D1602"/>
    <w:rsid w:val="005E385F"/>
    <w:rsid w:val="005E4826"/>
    <w:rsid w:val="005E5B81"/>
    <w:rsid w:val="005E6001"/>
    <w:rsid w:val="005F02DC"/>
    <w:rsid w:val="005F2CB1"/>
    <w:rsid w:val="005F3025"/>
    <w:rsid w:val="005F618C"/>
    <w:rsid w:val="005F70BD"/>
    <w:rsid w:val="0060283C"/>
    <w:rsid w:val="00602EED"/>
    <w:rsid w:val="00604F14"/>
    <w:rsid w:val="00605F62"/>
    <w:rsid w:val="00611B83"/>
    <w:rsid w:val="00613257"/>
    <w:rsid w:val="00620514"/>
    <w:rsid w:val="00620A71"/>
    <w:rsid w:val="00620C4D"/>
    <w:rsid w:val="00620D80"/>
    <w:rsid w:val="006234A6"/>
    <w:rsid w:val="00624D23"/>
    <w:rsid w:val="00630001"/>
    <w:rsid w:val="00631117"/>
    <w:rsid w:val="006311B3"/>
    <w:rsid w:val="0063284C"/>
    <w:rsid w:val="006340D6"/>
    <w:rsid w:val="00636398"/>
    <w:rsid w:val="006368D3"/>
    <w:rsid w:val="006377EC"/>
    <w:rsid w:val="00640159"/>
    <w:rsid w:val="00640FEB"/>
    <w:rsid w:val="0064151F"/>
    <w:rsid w:val="00641533"/>
    <w:rsid w:val="0064208D"/>
    <w:rsid w:val="00643475"/>
    <w:rsid w:val="0064396A"/>
    <w:rsid w:val="0064624E"/>
    <w:rsid w:val="00650AB9"/>
    <w:rsid w:val="00654E15"/>
    <w:rsid w:val="00655733"/>
    <w:rsid w:val="00655ACD"/>
    <w:rsid w:val="00656A92"/>
    <w:rsid w:val="00656DDE"/>
    <w:rsid w:val="0066011D"/>
    <w:rsid w:val="006607C0"/>
    <w:rsid w:val="006608EC"/>
    <w:rsid w:val="006612C0"/>
    <w:rsid w:val="006613A6"/>
    <w:rsid w:val="006627A2"/>
    <w:rsid w:val="006634E6"/>
    <w:rsid w:val="006655EE"/>
    <w:rsid w:val="006656F3"/>
    <w:rsid w:val="00667EE7"/>
    <w:rsid w:val="00670922"/>
    <w:rsid w:val="00670BE1"/>
    <w:rsid w:val="0067218F"/>
    <w:rsid w:val="006741F2"/>
    <w:rsid w:val="006745AD"/>
    <w:rsid w:val="00674CC3"/>
    <w:rsid w:val="00675C72"/>
    <w:rsid w:val="006771F9"/>
    <w:rsid w:val="006776D7"/>
    <w:rsid w:val="00681003"/>
    <w:rsid w:val="006817C9"/>
    <w:rsid w:val="00681D87"/>
    <w:rsid w:val="00683ECE"/>
    <w:rsid w:val="006859DD"/>
    <w:rsid w:val="00686996"/>
    <w:rsid w:val="0069044C"/>
    <w:rsid w:val="00692B27"/>
    <w:rsid w:val="00695890"/>
    <w:rsid w:val="00695FC2"/>
    <w:rsid w:val="00696949"/>
    <w:rsid w:val="00697052"/>
    <w:rsid w:val="006A0D6C"/>
    <w:rsid w:val="006A46FB"/>
    <w:rsid w:val="006A5E28"/>
    <w:rsid w:val="006A697B"/>
    <w:rsid w:val="006A7AFF"/>
    <w:rsid w:val="006B0011"/>
    <w:rsid w:val="006B04F6"/>
    <w:rsid w:val="006B17B3"/>
    <w:rsid w:val="006B1816"/>
    <w:rsid w:val="006B2099"/>
    <w:rsid w:val="006B4360"/>
    <w:rsid w:val="006B464D"/>
    <w:rsid w:val="006B50CF"/>
    <w:rsid w:val="006C00EA"/>
    <w:rsid w:val="006C03B8"/>
    <w:rsid w:val="006C1954"/>
    <w:rsid w:val="006C5EC9"/>
    <w:rsid w:val="006C6059"/>
    <w:rsid w:val="006C69C8"/>
    <w:rsid w:val="006C7522"/>
    <w:rsid w:val="006D6F08"/>
    <w:rsid w:val="006E062C"/>
    <w:rsid w:val="006E1E7C"/>
    <w:rsid w:val="006E28B7"/>
    <w:rsid w:val="006E31D4"/>
    <w:rsid w:val="006E3310"/>
    <w:rsid w:val="006E4E39"/>
    <w:rsid w:val="006E565E"/>
    <w:rsid w:val="006E673D"/>
    <w:rsid w:val="006E72ED"/>
    <w:rsid w:val="006E7D3B"/>
    <w:rsid w:val="006F18A6"/>
    <w:rsid w:val="006F1B70"/>
    <w:rsid w:val="006F1D15"/>
    <w:rsid w:val="006F341D"/>
    <w:rsid w:val="006F3CDE"/>
    <w:rsid w:val="006F58D4"/>
    <w:rsid w:val="00700CD1"/>
    <w:rsid w:val="0070346E"/>
    <w:rsid w:val="00704984"/>
    <w:rsid w:val="00704EDB"/>
    <w:rsid w:val="0070537F"/>
    <w:rsid w:val="00706101"/>
    <w:rsid w:val="00707072"/>
    <w:rsid w:val="00707928"/>
    <w:rsid w:val="00707D61"/>
    <w:rsid w:val="00710B1E"/>
    <w:rsid w:val="00712287"/>
    <w:rsid w:val="00712772"/>
    <w:rsid w:val="007148D3"/>
    <w:rsid w:val="00715B9A"/>
    <w:rsid w:val="007201B5"/>
    <w:rsid w:val="00721593"/>
    <w:rsid w:val="00726EA6"/>
    <w:rsid w:val="00727208"/>
    <w:rsid w:val="00727680"/>
    <w:rsid w:val="00730A9D"/>
    <w:rsid w:val="00731346"/>
    <w:rsid w:val="007337D4"/>
    <w:rsid w:val="007348B1"/>
    <w:rsid w:val="00734B23"/>
    <w:rsid w:val="007362A6"/>
    <w:rsid w:val="00736D7D"/>
    <w:rsid w:val="00736DD5"/>
    <w:rsid w:val="00737692"/>
    <w:rsid w:val="00740E58"/>
    <w:rsid w:val="007445A0"/>
    <w:rsid w:val="00744846"/>
    <w:rsid w:val="0074524B"/>
    <w:rsid w:val="00745721"/>
    <w:rsid w:val="007475D7"/>
    <w:rsid w:val="00747D8B"/>
    <w:rsid w:val="00750CA6"/>
    <w:rsid w:val="00751228"/>
    <w:rsid w:val="00751F55"/>
    <w:rsid w:val="0075324C"/>
    <w:rsid w:val="007571E1"/>
    <w:rsid w:val="00757D61"/>
    <w:rsid w:val="007604B2"/>
    <w:rsid w:val="00761197"/>
    <w:rsid w:val="007633B1"/>
    <w:rsid w:val="0076358F"/>
    <w:rsid w:val="00765281"/>
    <w:rsid w:val="007666CE"/>
    <w:rsid w:val="00766BAD"/>
    <w:rsid w:val="007705C5"/>
    <w:rsid w:val="007730BD"/>
    <w:rsid w:val="007755F2"/>
    <w:rsid w:val="00775B2F"/>
    <w:rsid w:val="00776971"/>
    <w:rsid w:val="0078177E"/>
    <w:rsid w:val="007823F3"/>
    <w:rsid w:val="0078304C"/>
    <w:rsid w:val="00783673"/>
    <w:rsid w:val="00785490"/>
    <w:rsid w:val="00785988"/>
    <w:rsid w:val="007925EA"/>
    <w:rsid w:val="00792FE2"/>
    <w:rsid w:val="00793586"/>
    <w:rsid w:val="00793CD8"/>
    <w:rsid w:val="00795C92"/>
    <w:rsid w:val="00796231"/>
    <w:rsid w:val="007A1CB3"/>
    <w:rsid w:val="007A20F4"/>
    <w:rsid w:val="007A306F"/>
    <w:rsid w:val="007A43A6"/>
    <w:rsid w:val="007A452F"/>
    <w:rsid w:val="007A58A6"/>
    <w:rsid w:val="007A5F8A"/>
    <w:rsid w:val="007B3D2D"/>
    <w:rsid w:val="007B50AE"/>
    <w:rsid w:val="007B51DF"/>
    <w:rsid w:val="007C05DD"/>
    <w:rsid w:val="007C1B67"/>
    <w:rsid w:val="007C329A"/>
    <w:rsid w:val="007C3D18"/>
    <w:rsid w:val="007C60BF"/>
    <w:rsid w:val="007C6A07"/>
    <w:rsid w:val="007C75A1"/>
    <w:rsid w:val="007C77A5"/>
    <w:rsid w:val="007D04E5"/>
    <w:rsid w:val="007D0D1A"/>
    <w:rsid w:val="007D2BF7"/>
    <w:rsid w:val="007D5901"/>
    <w:rsid w:val="007D5E74"/>
    <w:rsid w:val="007D62A9"/>
    <w:rsid w:val="007D6EA2"/>
    <w:rsid w:val="007D7526"/>
    <w:rsid w:val="007D7D8E"/>
    <w:rsid w:val="007E0857"/>
    <w:rsid w:val="007E328F"/>
    <w:rsid w:val="007E4610"/>
    <w:rsid w:val="007E4715"/>
    <w:rsid w:val="007E4DE5"/>
    <w:rsid w:val="007E505B"/>
    <w:rsid w:val="007E5632"/>
    <w:rsid w:val="007E7091"/>
    <w:rsid w:val="007F1A01"/>
    <w:rsid w:val="007F42D5"/>
    <w:rsid w:val="007F4528"/>
    <w:rsid w:val="007F74C8"/>
    <w:rsid w:val="00803481"/>
    <w:rsid w:val="00803FAE"/>
    <w:rsid w:val="0080605F"/>
    <w:rsid w:val="00807786"/>
    <w:rsid w:val="00811FCB"/>
    <w:rsid w:val="008158D6"/>
    <w:rsid w:val="00817196"/>
    <w:rsid w:val="008218FF"/>
    <w:rsid w:val="008235DB"/>
    <w:rsid w:val="00824AB4"/>
    <w:rsid w:val="00825C42"/>
    <w:rsid w:val="00825D25"/>
    <w:rsid w:val="00827D6F"/>
    <w:rsid w:val="008376AC"/>
    <w:rsid w:val="00837F97"/>
    <w:rsid w:val="0084111A"/>
    <w:rsid w:val="00841B37"/>
    <w:rsid w:val="00842C4F"/>
    <w:rsid w:val="0084313E"/>
    <w:rsid w:val="0084391C"/>
    <w:rsid w:val="008444E8"/>
    <w:rsid w:val="00844E80"/>
    <w:rsid w:val="00846FE7"/>
    <w:rsid w:val="00850CEC"/>
    <w:rsid w:val="00850DE7"/>
    <w:rsid w:val="00856911"/>
    <w:rsid w:val="00861CAA"/>
    <w:rsid w:val="0086457A"/>
    <w:rsid w:val="00865C2C"/>
    <w:rsid w:val="008677FD"/>
    <w:rsid w:val="008706D4"/>
    <w:rsid w:val="00870F8A"/>
    <w:rsid w:val="008719A4"/>
    <w:rsid w:val="00871D23"/>
    <w:rsid w:val="00874312"/>
    <w:rsid w:val="0087437C"/>
    <w:rsid w:val="00875CD7"/>
    <w:rsid w:val="00875DD6"/>
    <w:rsid w:val="00876B4D"/>
    <w:rsid w:val="0087730F"/>
    <w:rsid w:val="00877F18"/>
    <w:rsid w:val="00887329"/>
    <w:rsid w:val="00890206"/>
    <w:rsid w:val="00890262"/>
    <w:rsid w:val="00892095"/>
    <w:rsid w:val="00892134"/>
    <w:rsid w:val="00894A88"/>
    <w:rsid w:val="00895386"/>
    <w:rsid w:val="008A1578"/>
    <w:rsid w:val="008A21FF"/>
    <w:rsid w:val="008A2539"/>
    <w:rsid w:val="008A2CE2"/>
    <w:rsid w:val="008A30AC"/>
    <w:rsid w:val="008A427A"/>
    <w:rsid w:val="008A44B8"/>
    <w:rsid w:val="008A51A8"/>
    <w:rsid w:val="008A54C7"/>
    <w:rsid w:val="008A6928"/>
    <w:rsid w:val="008A77D8"/>
    <w:rsid w:val="008B0483"/>
    <w:rsid w:val="008B0C40"/>
    <w:rsid w:val="008B120C"/>
    <w:rsid w:val="008B3346"/>
    <w:rsid w:val="008B51A0"/>
    <w:rsid w:val="008B592A"/>
    <w:rsid w:val="008B7B5C"/>
    <w:rsid w:val="008C0C68"/>
    <w:rsid w:val="008C0C99"/>
    <w:rsid w:val="008C11E6"/>
    <w:rsid w:val="008C1CA0"/>
    <w:rsid w:val="008C1E28"/>
    <w:rsid w:val="008C2017"/>
    <w:rsid w:val="008C4958"/>
    <w:rsid w:val="008C4BAA"/>
    <w:rsid w:val="008C6AE8"/>
    <w:rsid w:val="008C7573"/>
    <w:rsid w:val="008D34F1"/>
    <w:rsid w:val="008D39D8"/>
    <w:rsid w:val="008D60A9"/>
    <w:rsid w:val="008D6D1A"/>
    <w:rsid w:val="008D6DDA"/>
    <w:rsid w:val="008E065E"/>
    <w:rsid w:val="008E0927"/>
    <w:rsid w:val="008E1909"/>
    <w:rsid w:val="008E2D58"/>
    <w:rsid w:val="008E4DCD"/>
    <w:rsid w:val="008E7D16"/>
    <w:rsid w:val="008F026B"/>
    <w:rsid w:val="008F1EAB"/>
    <w:rsid w:val="008F33DC"/>
    <w:rsid w:val="008F477F"/>
    <w:rsid w:val="0090010E"/>
    <w:rsid w:val="00902350"/>
    <w:rsid w:val="0090336B"/>
    <w:rsid w:val="009053AA"/>
    <w:rsid w:val="00906939"/>
    <w:rsid w:val="00910B7D"/>
    <w:rsid w:val="00911DFB"/>
    <w:rsid w:val="009139D9"/>
    <w:rsid w:val="009142BE"/>
    <w:rsid w:val="00914478"/>
    <w:rsid w:val="00914AD8"/>
    <w:rsid w:val="00916079"/>
    <w:rsid w:val="00917CE9"/>
    <w:rsid w:val="00920BF2"/>
    <w:rsid w:val="00922010"/>
    <w:rsid w:val="0092410B"/>
    <w:rsid w:val="00926EC4"/>
    <w:rsid w:val="00927406"/>
    <w:rsid w:val="00930C32"/>
    <w:rsid w:val="00931BD9"/>
    <w:rsid w:val="00935E17"/>
    <w:rsid w:val="009368F3"/>
    <w:rsid w:val="00936D0B"/>
    <w:rsid w:val="00941636"/>
    <w:rsid w:val="00942DAC"/>
    <w:rsid w:val="00943742"/>
    <w:rsid w:val="00945C05"/>
    <w:rsid w:val="00946945"/>
    <w:rsid w:val="00947713"/>
    <w:rsid w:val="00950DE7"/>
    <w:rsid w:val="00953920"/>
    <w:rsid w:val="00953D47"/>
    <w:rsid w:val="0095681E"/>
    <w:rsid w:val="009572D4"/>
    <w:rsid w:val="00961921"/>
    <w:rsid w:val="00962968"/>
    <w:rsid w:val="0096430A"/>
    <w:rsid w:val="0096554B"/>
    <w:rsid w:val="0096584A"/>
    <w:rsid w:val="00970A6A"/>
    <w:rsid w:val="00971F08"/>
    <w:rsid w:val="0097603D"/>
    <w:rsid w:val="00976949"/>
    <w:rsid w:val="00980477"/>
    <w:rsid w:val="00985253"/>
    <w:rsid w:val="009853B3"/>
    <w:rsid w:val="00990630"/>
    <w:rsid w:val="00991761"/>
    <w:rsid w:val="00994DCA"/>
    <w:rsid w:val="00995672"/>
    <w:rsid w:val="00995687"/>
    <w:rsid w:val="009960EC"/>
    <w:rsid w:val="009970DD"/>
    <w:rsid w:val="009A0FBA"/>
    <w:rsid w:val="009A1601"/>
    <w:rsid w:val="009A1743"/>
    <w:rsid w:val="009A1CF9"/>
    <w:rsid w:val="009A3789"/>
    <w:rsid w:val="009A462D"/>
    <w:rsid w:val="009A48B0"/>
    <w:rsid w:val="009A5CBA"/>
    <w:rsid w:val="009A6B9A"/>
    <w:rsid w:val="009A79C6"/>
    <w:rsid w:val="009B1D82"/>
    <w:rsid w:val="009B1F30"/>
    <w:rsid w:val="009B3AC2"/>
    <w:rsid w:val="009B4DF4"/>
    <w:rsid w:val="009B564E"/>
    <w:rsid w:val="009B765A"/>
    <w:rsid w:val="009B7E87"/>
    <w:rsid w:val="009C279D"/>
    <w:rsid w:val="009C403E"/>
    <w:rsid w:val="009C4E9C"/>
    <w:rsid w:val="009C5C47"/>
    <w:rsid w:val="009C6AD0"/>
    <w:rsid w:val="009D4FF0"/>
    <w:rsid w:val="009D51CD"/>
    <w:rsid w:val="009D6577"/>
    <w:rsid w:val="009D6A7D"/>
    <w:rsid w:val="009D703C"/>
    <w:rsid w:val="009D718F"/>
    <w:rsid w:val="009D77E5"/>
    <w:rsid w:val="009E068F"/>
    <w:rsid w:val="009E0F0A"/>
    <w:rsid w:val="009E1464"/>
    <w:rsid w:val="009E14E0"/>
    <w:rsid w:val="009E1E1B"/>
    <w:rsid w:val="009E2299"/>
    <w:rsid w:val="009E35DB"/>
    <w:rsid w:val="009E47A3"/>
    <w:rsid w:val="009E6978"/>
    <w:rsid w:val="009E7B0D"/>
    <w:rsid w:val="009F08F3"/>
    <w:rsid w:val="009F344F"/>
    <w:rsid w:val="009F582B"/>
    <w:rsid w:val="00A048A8"/>
    <w:rsid w:val="00A04F49"/>
    <w:rsid w:val="00A13E54"/>
    <w:rsid w:val="00A13E82"/>
    <w:rsid w:val="00A17F63"/>
    <w:rsid w:val="00A2193B"/>
    <w:rsid w:val="00A2351A"/>
    <w:rsid w:val="00A25498"/>
    <w:rsid w:val="00A264A9"/>
    <w:rsid w:val="00A27055"/>
    <w:rsid w:val="00A27785"/>
    <w:rsid w:val="00A30187"/>
    <w:rsid w:val="00A30319"/>
    <w:rsid w:val="00A3174B"/>
    <w:rsid w:val="00A3448A"/>
    <w:rsid w:val="00A36297"/>
    <w:rsid w:val="00A406EA"/>
    <w:rsid w:val="00A41E2B"/>
    <w:rsid w:val="00A42939"/>
    <w:rsid w:val="00A45B74"/>
    <w:rsid w:val="00A500D9"/>
    <w:rsid w:val="00A50EB2"/>
    <w:rsid w:val="00A52E1D"/>
    <w:rsid w:val="00A52F13"/>
    <w:rsid w:val="00A53961"/>
    <w:rsid w:val="00A57E93"/>
    <w:rsid w:val="00A61499"/>
    <w:rsid w:val="00A62A77"/>
    <w:rsid w:val="00A63483"/>
    <w:rsid w:val="00A6525F"/>
    <w:rsid w:val="00A657D7"/>
    <w:rsid w:val="00A660AC"/>
    <w:rsid w:val="00A67E6C"/>
    <w:rsid w:val="00A71B99"/>
    <w:rsid w:val="00A739D0"/>
    <w:rsid w:val="00A7601C"/>
    <w:rsid w:val="00A761D4"/>
    <w:rsid w:val="00A77EC4"/>
    <w:rsid w:val="00A82374"/>
    <w:rsid w:val="00A84E28"/>
    <w:rsid w:val="00A857F0"/>
    <w:rsid w:val="00A8722F"/>
    <w:rsid w:val="00A92879"/>
    <w:rsid w:val="00A93448"/>
    <w:rsid w:val="00A9442A"/>
    <w:rsid w:val="00A94CAB"/>
    <w:rsid w:val="00AA016F"/>
    <w:rsid w:val="00AA0F9E"/>
    <w:rsid w:val="00AA1ED6"/>
    <w:rsid w:val="00AA397D"/>
    <w:rsid w:val="00AA51D6"/>
    <w:rsid w:val="00AA69C2"/>
    <w:rsid w:val="00AB0BC8"/>
    <w:rsid w:val="00AB11CA"/>
    <w:rsid w:val="00AB14D9"/>
    <w:rsid w:val="00AB2562"/>
    <w:rsid w:val="00AB4AB8"/>
    <w:rsid w:val="00AB655E"/>
    <w:rsid w:val="00AC007F"/>
    <w:rsid w:val="00AC2ECD"/>
    <w:rsid w:val="00AC2F8E"/>
    <w:rsid w:val="00AC3119"/>
    <w:rsid w:val="00AC49FB"/>
    <w:rsid w:val="00AC5A10"/>
    <w:rsid w:val="00AC5AE5"/>
    <w:rsid w:val="00AC5E0D"/>
    <w:rsid w:val="00AD0AA3"/>
    <w:rsid w:val="00AD1C92"/>
    <w:rsid w:val="00AD2DD0"/>
    <w:rsid w:val="00AD34DF"/>
    <w:rsid w:val="00AD3F94"/>
    <w:rsid w:val="00AD4A5A"/>
    <w:rsid w:val="00AD6FA4"/>
    <w:rsid w:val="00AE27AC"/>
    <w:rsid w:val="00AE2893"/>
    <w:rsid w:val="00AE3AF0"/>
    <w:rsid w:val="00AE40E0"/>
    <w:rsid w:val="00AE4DBA"/>
    <w:rsid w:val="00AE4F07"/>
    <w:rsid w:val="00AE5D7C"/>
    <w:rsid w:val="00AF1C5D"/>
    <w:rsid w:val="00AF42D7"/>
    <w:rsid w:val="00B006FE"/>
    <w:rsid w:val="00B007CB"/>
    <w:rsid w:val="00B02AA9"/>
    <w:rsid w:val="00B02FA3"/>
    <w:rsid w:val="00B05084"/>
    <w:rsid w:val="00B15675"/>
    <w:rsid w:val="00B157F9"/>
    <w:rsid w:val="00B167F1"/>
    <w:rsid w:val="00B17F41"/>
    <w:rsid w:val="00B20256"/>
    <w:rsid w:val="00B20D09"/>
    <w:rsid w:val="00B24948"/>
    <w:rsid w:val="00B2589C"/>
    <w:rsid w:val="00B2763F"/>
    <w:rsid w:val="00B27AAC"/>
    <w:rsid w:val="00B30929"/>
    <w:rsid w:val="00B35F90"/>
    <w:rsid w:val="00B372AA"/>
    <w:rsid w:val="00B40445"/>
    <w:rsid w:val="00B41888"/>
    <w:rsid w:val="00B45A52"/>
    <w:rsid w:val="00B46175"/>
    <w:rsid w:val="00B46AB5"/>
    <w:rsid w:val="00B53A9F"/>
    <w:rsid w:val="00B62AAA"/>
    <w:rsid w:val="00B6438B"/>
    <w:rsid w:val="00B664C7"/>
    <w:rsid w:val="00B67B65"/>
    <w:rsid w:val="00B73462"/>
    <w:rsid w:val="00B734F4"/>
    <w:rsid w:val="00B739F6"/>
    <w:rsid w:val="00B75F6D"/>
    <w:rsid w:val="00B80C67"/>
    <w:rsid w:val="00B81A6C"/>
    <w:rsid w:val="00B85DE5"/>
    <w:rsid w:val="00B87B8E"/>
    <w:rsid w:val="00B90F73"/>
    <w:rsid w:val="00B93B59"/>
    <w:rsid w:val="00B9406A"/>
    <w:rsid w:val="00B940AD"/>
    <w:rsid w:val="00BA03D1"/>
    <w:rsid w:val="00BA085E"/>
    <w:rsid w:val="00BA2280"/>
    <w:rsid w:val="00BA2A08"/>
    <w:rsid w:val="00BA56D2"/>
    <w:rsid w:val="00BA76E0"/>
    <w:rsid w:val="00BB2A25"/>
    <w:rsid w:val="00BB51E9"/>
    <w:rsid w:val="00BB6121"/>
    <w:rsid w:val="00BC0FDC"/>
    <w:rsid w:val="00BC3053"/>
    <w:rsid w:val="00BC347B"/>
    <w:rsid w:val="00BC4D2E"/>
    <w:rsid w:val="00BC4F23"/>
    <w:rsid w:val="00BD1431"/>
    <w:rsid w:val="00BD48AC"/>
    <w:rsid w:val="00BD5CE9"/>
    <w:rsid w:val="00BD5F1A"/>
    <w:rsid w:val="00BE1234"/>
    <w:rsid w:val="00BE2FA6"/>
    <w:rsid w:val="00BE333F"/>
    <w:rsid w:val="00BE53AE"/>
    <w:rsid w:val="00BE7406"/>
    <w:rsid w:val="00BE7603"/>
    <w:rsid w:val="00BF0E6F"/>
    <w:rsid w:val="00BF3279"/>
    <w:rsid w:val="00BF3D05"/>
    <w:rsid w:val="00BF74C7"/>
    <w:rsid w:val="00C015F1"/>
    <w:rsid w:val="00C01731"/>
    <w:rsid w:val="00C01F33"/>
    <w:rsid w:val="00C02CC6"/>
    <w:rsid w:val="00C03FB7"/>
    <w:rsid w:val="00C040F7"/>
    <w:rsid w:val="00C041B0"/>
    <w:rsid w:val="00C044AB"/>
    <w:rsid w:val="00C04501"/>
    <w:rsid w:val="00C05706"/>
    <w:rsid w:val="00C07377"/>
    <w:rsid w:val="00C10212"/>
    <w:rsid w:val="00C10478"/>
    <w:rsid w:val="00C12107"/>
    <w:rsid w:val="00C14D4B"/>
    <w:rsid w:val="00C14F0B"/>
    <w:rsid w:val="00C154BB"/>
    <w:rsid w:val="00C16B24"/>
    <w:rsid w:val="00C2546B"/>
    <w:rsid w:val="00C26C08"/>
    <w:rsid w:val="00C2764F"/>
    <w:rsid w:val="00C279B5"/>
    <w:rsid w:val="00C27C45"/>
    <w:rsid w:val="00C27D9E"/>
    <w:rsid w:val="00C3719D"/>
    <w:rsid w:val="00C404BB"/>
    <w:rsid w:val="00C54995"/>
    <w:rsid w:val="00C54D41"/>
    <w:rsid w:val="00C559C2"/>
    <w:rsid w:val="00C56B10"/>
    <w:rsid w:val="00C60783"/>
    <w:rsid w:val="00C608C1"/>
    <w:rsid w:val="00C64672"/>
    <w:rsid w:val="00C6662B"/>
    <w:rsid w:val="00C70697"/>
    <w:rsid w:val="00C72EF4"/>
    <w:rsid w:val="00C75D2F"/>
    <w:rsid w:val="00C76306"/>
    <w:rsid w:val="00C767BE"/>
    <w:rsid w:val="00C76963"/>
    <w:rsid w:val="00C76E3C"/>
    <w:rsid w:val="00C81568"/>
    <w:rsid w:val="00C85FCB"/>
    <w:rsid w:val="00C9027A"/>
    <w:rsid w:val="00C9068E"/>
    <w:rsid w:val="00C90A84"/>
    <w:rsid w:val="00C91FF5"/>
    <w:rsid w:val="00C93C4B"/>
    <w:rsid w:val="00C944AB"/>
    <w:rsid w:val="00C95B40"/>
    <w:rsid w:val="00CA1ED8"/>
    <w:rsid w:val="00CA3903"/>
    <w:rsid w:val="00CA690C"/>
    <w:rsid w:val="00CB1F63"/>
    <w:rsid w:val="00CB7170"/>
    <w:rsid w:val="00CC040E"/>
    <w:rsid w:val="00CC111F"/>
    <w:rsid w:val="00CC2011"/>
    <w:rsid w:val="00CC3EA0"/>
    <w:rsid w:val="00CC401C"/>
    <w:rsid w:val="00CC4B1E"/>
    <w:rsid w:val="00CC6387"/>
    <w:rsid w:val="00CC7B45"/>
    <w:rsid w:val="00CD1188"/>
    <w:rsid w:val="00CD169B"/>
    <w:rsid w:val="00CD2ED1"/>
    <w:rsid w:val="00CD337B"/>
    <w:rsid w:val="00CD46BA"/>
    <w:rsid w:val="00CD6EBF"/>
    <w:rsid w:val="00CE0424"/>
    <w:rsid w:val="00CE6B0F"/>
    <w:rsid w:val="00CE7561"/>
    <w:rsid w:val="00CF1354"/>
    <w:rsid w:val="00CF233B"/>
    <w:rsid w:val="00CF2AE7"/>
    <w:rsid w:val="00CF3B1F"/>
    <w:rsid w:val="00CF3BF6"/>
    <w:rsid w:val="00CF5BDB"/>
    <w:rsid w:val="00CF625B"/>
    <w:rsid w:val="00CF687E"/>
    <w:rsid w:val="00D0349B"/>
    <w:rsid w:val="00D04434"/>
    <w:rsid w:val="00D10249"/>
    <w:rsid w:val="00D115C3"/>
    <w:rsid w:val="00D11897"/>
    <w:rsid w:val="00D13135"/>
    <w:rsid w:val="00D13E4E"/>
    <w:rsid w:val="00D239A7"/>
    <w:rsid w:val="00D23F47"/>
    <w:rsid w:val="00D240A5"/>
    <w:rsid w:val="00D27807"/>
    <w:rsid w:val="00D3005B"/>
    <w:rsid w:val="00D33F6C"/>
    <w:rsid w:val="00D36CCA"/>
    <w:rsid w:val="00D36E71"/>
    <w:rsid w:val="00D37D87"/>
    <w:rsid w:val="00D40B33"/>
    <w:rsid w:val="00D4318F"/>
    <w:rsid w:val="00D438BF"/>
    <w:rsid w:val="00D440F8"/>
    <w:rsid w:val="00D47A87"/>
    <w:rsid w:val="00D50607"/>
    <w:rsid w:val="00D5106C"/>
    <w:rsid w:val="00D546FF"/>
    <w:rsid w:val="00D55AD5"/>
    <w:rsid w:val="00D576CA"/>
    <w:rsid w:val="00D60E13"/>
    <w:rsid w:val="00D61AF5"/>
    <w:rsid w:val="00D62CD5"/>
    <w:rsid w:val="00D6435F"/>
    <w:rsid w:val="00D652B5"/>
    <w:rsid w:val="00D6559B"/>
    <w:rsid w:val="00D66155"/>
    <w:rsid w:val="00D7069B"/>
    <w:rsid w:val="00D708B0"/>
    <w:rsid w:val="00D73293"/>
    <w:rsid w:val="00D764AE"/>
    <w:rsid w:val="00D77B1D"/>
    <w:rsid w:val="00D8021F"/>
    <w:rsid w:val="00D80383"/>
    <w:rsid w:val="00D823C6"/>
    <w:rsid w:val="00D83D17"/>
    <w:rsid w:val="00D86CA3"/>
    <w:rsid w:val="00D8700B"/>
    <w:rsid w:val="00D871CE"/>
    <w:rsid w:val="00D9196D"/>
    <w:rsid w:val="00D91BF9"/>
    <w:rsid w:val="00D92982"/>
    <w:rsid w:val="00D94185"/>
    <w:rsid w:val="00D95569"/>
    <w:rsid w:val="00DA0793"/>
    <w:rsid w:val="00DA0B86"/>
    <w:rsid w:val="00DA2FD2"/>
    <w:rsid w:val="00DA305E"/>
    <w:rsid w:val="00DA5007"/>
    <w:rsid w:val="00DA5417"/>
    <w:rsid w:val="00DA56E8"/>
    <w:rsid w:val="00DA790D"/>
    <w:rsid w:val="00DB0A9F"/>
    <w:rsid w:val="00DB0C30"/>
    <w:rsid w:val="00DB377D"/>
    <w:rsid w:val="00DB3950"/>
    <w:rsid w:val="00DB4731"/>
    <w:rsid w:val="00DC2D36"/>
    <w:rsid w:val="00DC467C"/>
    <w:rsid w:val="00DC53EF"/>
    <w:rsid w:val="00DC5865"/>
    <w:rsid w:val="00DC770E"/>
    <w:rsid w:val="00DD3EE2"/>
    <w:rsid w:val="00DD653B"/>
    <w:rsid w:val="00DD6A02"/>
    <w:rsid w:val="00DE1FB2"/>
    <w:rsid w:val="00DE274B"/>
    <w:rsid w:val="00DE5608"/>
    <w:rsid w:val="00DE58D0"/>
    <w:rsid w:val="00DE654F"/>
    <w:rsid w:val="00DF0B6E"/>
    <w:rsid w:val="00DF15E0"/>
    <w:rsid w:val="00DF37A0"/>
    <w:rsid w:val="00DF3FF8"/>
    <w:rsid w:val="00DF528A"/>
    <w:rsid w:val="00DF76DF"/>
    <w:rsid w:val="00E015CD"/>
    <w:rsid w:val="00E110E7"/>
    <w:rsid w:val="00E11B20"/>
    <w:rsid w:val="00E17FA2"/>
    <w:rsid w:val="00E22330"/>
    <w:rsid w:val="00E279EB"/>
    <w:rsid w:val="00E27E81"/>
    <w:rsid w:val="00E30B5A"/>
    <w:rsid w:val="00E310DD"/>
    <w:rsid w:val="00E3123D"/>
    <w:rsid w:val="00E31461"/>
    <w:rsid w:val="00E31D43"/>
    <w:rsid w:val="00E32608"/>
    <w:rsid w:val="00E34188"/>
    <w:rsid w:val="00E345CD"/>
    <w:rsid w:val="00E34B6E"/>
    <w:rsid w:val="00E35559"/>
    <w:rsid w:val="00E3723A"/>
    <w:rsid w:val="00E37860"/>
    <w:rsid w:val="00E37E60"/>
    <w:rsid w:val="00E446F1"/>
    <w:rsid w:val="00E454B1"/>
    <w:rsid w:val="00E46886"/>
    <w:rsid w:val="00E47AEF"/>
    <w:rsid w:val="00E52D7A"/>
    <w:rsid w:val="00E53197"/>
    <w:rsid w:val="00E53B75"/>
    <w:rsid w:val="00E53DF4"/>
    <w:rsid w:val="00E54E3B"/>
    <w:rsid w:val="00E57565"/>
    <w:rsid w:val="00E60C39"/>
    <w:rsid w:val="00E63838"/>
    <w:rsid w:val="00E64434"/>
    <w:rsid w:val="00E65F72"/>
    <w:rsid w:val="00E67C51"/>
    <w:rsid w:val="00E72EFC"/>
    <w:rsid w:val="00E7380E"/>
    <w:rsid w:val="00E74EA5"/>
    <w:rsid w:val="00E758EC"/>
    <w:rsid w:val="00E7638E"/>
    <w:rsid w:val="00E822CF"/>
    <w:rsid w:val="00E8234C"/>
    <w:rsid w:val="00E83AA9"/>
    <w:rsid w:val="00E842D5"/>
    <w:rsid w:val="00E85928"/>
    <w:rsid w:val="00E8628D"/>
    <w:rsid w:val="00E87822"/>
    <w:rsid w:val="00E90395"/>
    <w:rsid w:val="00E90E49"/>
    <w:rsid w:val="00E917F9"/>
    <w:rsid w:val="00E9291C"/>
    <w:rsid w:val="00E93FFE"/>
    <w:rsid w:val="00E94F8A"/>
    <w:rsid w:val="00E9650A"/>
    <w:rsid w:val="00EA0BD0"/>
    <w:rsid w:val="00EA595C"/>
    <w:rsid w:val="00EA5F09"/>
    <w:rsid w:val="00EA7A41"/>
    <w:rsid w:val="00EB077B"/>
    <w:rsid w:val="00EB421A"/>
    <w:rsid w:val="00EB4EA2"/>
    <w:rsid w:val="00EC1725"/>
    <w:rsid w:val="00EC27C6"/>
    <w:rsid w:val="00EC4207"/>
    <w:rsid w:val="00EC5372"/>
    <w:rsid w:val="00EC5512"/>
    <w:rsid w:val="00EC5653"/>
    <w:rsid w:val="00EC60B5"/>
    <w:rsid w:val="00EC70E2"/>
    <w:rsid w:val="00EC71CE"/>
    <w:rsid w:val="00EC7E0C"/>
    <w:rsid w:val="00ED0573"/>
    <w:rsid w:val="00ED0EDE"/>
    <w:rsid w:val="00ED1006"/>
    <w:rsid w:val="00ED2180"/>
    <w:rsid w:val="00ED7904"/>
    <w:rsid w:val="00ED7C68"/>
    <w:rsid w:val="00EE0609"/>
    <w:rsid w:val="00EE0BB7"/>
    <w:rsid w:val="00EE3FBC"/>
    <w:rsid w:val="00EE7625"/>
    <w:rsid w:val="00EF18FE"/>
    <w:rsid w:val="00EF5787"/>
    <w:rsid w:val="00EF60D0"/>
    <w:rsid w:val="00F01E46"/>
    <w:rsid w:val="00F0528D"/>
    <w:rsid w:val="00F06C67"/>
    <w:rsid w:val="00F06DFD"/>
    <w:rsid w:val="00F071D1"/>
    <w:rsid w:val="00F07533"/>
    <w:rsid w:val="00F10629"/>
    <w:rsid w:val="00F109F7"/>
    <w:rsid w:val="00F15FA5"/>
    <w:rsid w:val="00F209B7"/>
    <w:rsid w:val="00F2376F"/>
    <w:rsid w:val="00F243D8"/>
    <w:rsid w:val="00F26345"/>
    <w:rsid w:val="00F30828"/>
    <w:rsid w:val="00F30990"/>
    <w:rsid w:val="00F313D6"/>
    <w:rsid w:val="00F317D0"/>
    <w:rsid w:val="00F33CD9"/>
    <w:rsid w:val="00F356F7"/>
    <w:rsid w:val="00F3629A"/>
    <w:rsid w:val="00F40F0C"/>
    <w:rsid w:val="00F4766C"/>
    <w:rsid w:val="00F507D1"/>
    <w:rsid w:val="00F519CE"/>
    <w:rsid w:val="00F51ADA"/>
    <w:rsid w:val="00F53619"/>
    <w:rsid w:val="00F556C9"/>
    <w:rsid w:val="00F55DD1"/>
    <w:rsid w:val="00F607C5"/>
    <w:rsid w:val="00F60DEA"/>
    <w:rsid w:val="00F6254F"/>
    <w:rsid w:val="00F62887"/>
    <w:rsid w:val="00F6302A"/>
    <w:rsid w:val="00F64C2B"/>
    <w:rsid w:val="00F651BE"/>
    <w:rsid w:val="00F67F53"/>
    <w:rsid w:val="00F703BE"/>
    <w:rsid w:val="00F711AE"/>
    <w:rsid w:val="00F71F69"/>
    <w:rsid w:val="00F72B72"/>
    <w:rsid w:val="00F74319"/>
    <w:rsid w:val="00F74BB9"/>
    <w:rsid w:val="00F75582"/>
    <w:rsid w:val="00F75A7F"/>
    <w:rsid w:val="00F76EFA"/>
    <w:rsid w:val="00F7793D"/>
    <w:rsid w:val="00F804BE"/>
    <w:rsid w:val="00F817CE"/>
    <w:rsid w:val="00F8456C"/>
    <w:rsid w:val="00F859D8"/>
    <w:rsid w:val="00F868F5"/>
    <w:rsid w:val="00F9056A"/>
    <w:rsid w:val="00F90F8D"/>
    <w:rsid w:val="00F91558"/>
    <w:rsid w:val="00F92782"/>
    <w:rsid w:val="00F93AA9"/>
    <w:rsid w:val="00F96985"/>
    <w:rsid w:val="00F97838"/>
    <w:rsid w:val="00FA05B6"/>
    <w:rsid w:val="00FA2264"/>
    <w:rsid w:val="00FA2BB3"/>
    <w:rsid w:val="00FA5E3B"/>
    <w:rsid w:val="00FB4C80"/>
    <w:rsid w:val="00FB6A6A"/>
    <w:rsid w:val="00FB7976"/>
    <w:rsid w:val="00FC346C"/>
    <w:rsid w:val="00FC4AD0"/>
    <w:rsid w:val="00FC7429"/>
    <w:rsid w:val="00FD07F6"/>
    <w:rsid w:val="00FD1EC8"/>
    <w:rsid w:val="00FD2A9E"/>
    <w:rsid w:val="00FD3FB3"/>
    <w:rsid w:val="00FD4059"/>
    <w:rsid w:val="00FD47ED"/>
    <w:rsid w:val="00FD74DB"/>
    <w:rsid w:val="00FD764B"/>
    <w:rsid w:val="00FD7660"/>
    <w:rsid w:val="00FE0655"/>
    <w:rsid w:val="00FE2365"/>
    <w:rsid w:val="00FE36BE"/>
    <w:rsid w:val="00FE4C7B"/>
    <w:rsid w:val="00FE7336"/>
    <w:rsid w:val="00FE787C"/>
    <w:rsid w:val="00FF08CA"/>
    <w:rsid w:val="00FF2F5F"/>
    <w:rsid w:val="00FF38B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8"/>
    <o:shapelayout v:ext="edit">
      <o:idmap v:ext="edit" data="1"/>
    </o:shapelayout>
  </w:shapeDefaults>
  <w:decimalSymbol w:val=","/>
  <w:listSeparator w:val=";"/>
  <w14:docId w14:val="15BF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5E3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5E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5E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5E3B"/>
    <w:pPr>
      <w:numPr>
        <w:ilvl w:val="2"/>
      </w:numPr>
      <w:spacing w:before="120"/>
      <w:outlineLvl w:val="2"/>
    </w:pPr>
    <w:rPr>
      <w:sz w:val="28"/>
      <w:szCs w:val="28"/>
    </w:rPr>
  </w:style>
  <w:style w:type="paragraph" w:styleId="Heading4">
    <w:name w:val="heading 4"/>
    <w:basedOn w:val="Heading3"/>
    <w:next w:val="Normal"/>
    <w:qFormat/>
    <w:rsid w:val="00FA5E3B"/>
    <w:pPr>
      <w:numPr>
        <w:ilvl w:val="3"/>
      </w:numPr>
      <w:outlineLvl w:val="3"/>
    </w:pPr>
    <w:rPr>
      <w:sz w:val="24"/>
      <w:szCs w:val="24"/>
    </w:rPr>
  </w:style>
  <w:style w:type="paragraph" w:styleId="Heading5">
    <w:name w:val="heading 5"/>
    <w:basedOn w:val="Heading4"/>
    <w:next w:val="Normal"/>
    <w:qFormat/>
    <w:rsid w:val="00FA5E3B"/>
    <w:pPr>
      <w:numPr>
        <w:ilvl w:val="4"/>
      </w:numPr>
      <w:outlineLvl w:val="4"/>
    </w:pPr>
    <w:rPr>
      <w:sz w:val="22"/>
      <w:szCs w:val="22"/>
    </w:rPr>
  </w:style>
  <w:style w:type="paragraph" w:styleId="Heading6">
    <w:name w:val="heading 6"/>
    <w:basedOn w:val="Normal"/>
    <w:next w:val="Normal"/>
    <w:qFormat/>
    <w:rsid w:val="00FA5E3B"/>
    <w:pPr>
      <w:keepNext/>
      <w:keepLines/>
      <w:numPr>
        <w:ilvl w:val="5"/>
        <w:numId w:val="1"/>
      </w:numPr>
      <w:spacing w:before="120"/>
      <w:outlineLvl w:val="5"/>
    </w:pPr>
    <w:rPr>
      <w:rFonts w:cs="Arial"/>
    </w:rPr>
  </w:style>
  <w:style w:type="paragraph" w:styleId="Heading7">
    <w:name w:val="heading 7"/>
    <w:basedOn w:val="Normal"/>
    <w:next w:val="Normal"/>
    <w:qFormat/>
    <w:rsid w:val="00FA5E3B"/>
    <w:pPr>
      <w:keepNext/>
      <w:keepLines/>
      <w:numPr>
        <w:ilvl w:val="6"/>
        <w:numId w:val="1"/>
      </w:numPr>
      <w:spacing w:before="120"/>
      <w:outlineLvl w:val="6"/>
    </w:pPr>
    <w:rPr>
      <w:rFonts w:cs="Arial"/>
    </w:rPr>
  </w:style>
  <w:style w:type="paragraph" w:styleId="Heading8">
    <w:name w:val="heading 8"/>
    <w:basedOn w:val="Heading7"/>
    <w:next w:val="Normal"/>
    <w:qFormat/>
    <w:rsid w:val="00FA5E3B"/>
    <w:pPr>
      <w:numPr>
        <w:ilvl w:val="7"/>
      </w:numPr>
      <w:outlineLvl w:val="7"/>
    </w:pPr>
  </w:style>
  <w:style w:type="paragraph" w:styleId="Heading9">
    <w:name w:val="heading 9"/>
    <w:basedOn w:val="Heading8"/>
    <w:next w:val="Normal"/>
    <w:qFormat/>
    <w:rsid w:val="00FA5E3B"/>
    <w:pPr>
      <w:numPr>
        <w:ilvl w:val="8"/>
      </w:numPr>
      <w:outlineLvl w:val="8"/>
    </w:pPr>
  </w:style>
  <w:style w:type="character" w:default="1" w:styleId="DefaultParagraphFont">
    <w:name w:val="Default Paragraph Font"/>
    <w:semiHidden/>
    <w:rsid w:val="00FA5E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5E3B"/>
  </w:style>
  <w:style w:type="paragraph" w:styleId="TOC8">
    <w:name w:val="toc 8"/>
    <w:basedOn w:val="TOC1"/>
    <w:semiHidden/>
    <w:rsid w:val="00FA5E3B"/>
    <w:pPr>
      <w:spacing w:before="180"/>
      <w:ind w:left="2693" w:hanging="2693"/>
    </w:pPr>
    <w:rPr>
      <w:b w:val="0"/>
      <w:bCs/>
    </w:rPr>
  </w:style>
  <w:style w:type="paragraph" w:styleId="TOC1">
    <w:name w:val="toc 1"/>
    <w:aliases w:val="Observation TOC2"/>
    <w:uiPriority w:val="39"/>
    <w:rsid w:val="00FA5E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A5E3B"/>
    <w:pPr>
      <w:keepNext/>
      <w:keepLines/>
      <w:spacing w:before="180"/>
      <w:jc w:val="center"/>
    </w:pPr>
  </w:style>
  <w:style w:type="paragraph" w:styleId="Caption">
    <w:name w:val="caption"/>
    <w:basedOn w:val="Normal"/>
    <w:next w:val="Normal"/>
    <w:qFormat/>
    <w:rsid w:val="00FA5E3B"/>
    <w:pPr>
      <w:spacing w:after="240"/>
      <w:jc w:val="center"/>
    </w:pPr>
    <w:rPr>
      <w:b/>
      <w:bCs/>
    </w:rPr>
  </w:style>
  <w:style w:type="paragraph" w:styleId="TOC5">
    <w:name w:val="toc 5"/>
    <w:aliases w:val="Observation TOC"/>
    <w:basedOn w:val="TOC4"/>
    <w:semiHidden/>
    <w:rsid w:val="00FA5E3B"/>
    <w:pPr>
      <w:tabs>
        <w:tab w:val="right" w:pos="1701"/>
      </w:tabs>
      <w:ind w:left="1701" w:hanging="1701"/>
    </w:pPr>
  </w:style>
  <w:style w:type="paragraph" w:styleId="TOC4">
    <w:name w:val="toc 4"/>
    <w:basedOn w:val="TOC3"/>
    <w:semiHidden/>
    <w:rsid w:val="00FA5E3B"/>
    <w:pPr>
      <w:ind w:left="1418" w:hanging="1418"/>
    </w:pPr>
  </w:style>
  <w:style w:type="paragraph" w:styleId="TOC3">
    <w:name w:val="toc 3"/>
    <w:basedOn w:val="TOC2"/>
    <w:semiHidden/>
    <w:rsid w:val="00FA5E3B"/>
    <w:pPr>
      <w:ind w:left="1134" w:hanging="1134"/>
    </w:pPr>
  </w:style>
  <w:style w:type="paragraph" w:styleId="TOC2">
    <w:name w:val="toc 2"/>
    <w:basedOn w:val="TOC1"/>
    <w:semiHidden/>
    <w:rsid w:val="00FA5E3B"/>
    <w:pPr>
      <w:keepNext w:val="0"/>
      <w:spacing w:before="0"/>
      <w:ind w:left="851" w:hanging="851"/>
    </w:pPr>
    <w:rPr>
      <w:szCs w:val="20"/>
    </w:rPr>
  </w:style>
  <w:style w:type="paragraph" w:styleId="Index2">
    <w:name w:val="index 2"/>
    <w:basedOn w:val="Index1"/>
    <w:semiHidden/>
    <w:rsid w:val="00FA5E3B"/>
    <w:pPr>
      <w:ind w:left="284"/>
    </w:pPr>
  </w:style>
  <w:style w:type="paragraph" w:styleId="Index1">
    <w:name w:val="index 1"/>
    <w:basedOn w:val="Normal"/>
    <w:semiHidden/>
    <w:rsid w:val="00FA5E3B"/>
    <w:pPr>
      <w:keepLines/>
      <w:spacing w:after="0"/>
    </w:pPr>
  </w:style>
  <w:style w:type="paragraph" w:styleId="DocumentMap">
    <w:name w:val="Document Map"/>
    <w:basedOn w:val="Normal"/>
    <w:semiHidden/>
    <w:rsid w:val="00FA5E3B"/>
    <w:pPr>
      <w:shd w:val="clear" w:color="auto" w:fill="000080"/>
    </w:pPr>
    <w:rPr>
      <w:rFonts w:ascii="Tahoma" w:hAnsi="Tahoma" w:cs="Tahoma"/>
    </w:rPr>
  </w:style>
  <w:style w:type="paragraph" w:styleId="ListNumber2">
    <w:name w:val="List Number 2"/>
    <w:basedOn w:val="ListNumber"/>
    <w:rsid w:val="00FA5E3B"/>
    <w:pPr>
      <w:ind w:left="851"/>
    </w:pPr>
  </w:style>
  <w:style w:type="paragraph" w:styleId="ListNumber">
    <w:name w:val="List Number"/>
    <w:basedOn w:val="List"/>
    <w:rsid w:val="00FA5E3B"/>
  </w:style>
  <w:style w:type="paragraph" w:styleId="List">
    <w:name w:val="List"/>
    <w:basedOn w:val="Normal"/>
    <w:rsid w:val="00FA5E3B"/>
    <w:pPr>
      <w:ind w:left="568" w:hanging="284"/>
    </w:pPr>
  </w:style>
  <w:style w:type="paragraph" w:styleId="Header">
    <w:name w:val="header"/>
    <w:rsid w:val="00FA5E3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A5E3B"/>
    <w:rPr>
      <w:b/>
      <w:bCs/>
      <w:position w:val="6"/>
      <w:sz w:val="16"/>
      <w:szCs w:val="16"/>
    </w:rPr>
  </w:style>
  <w:style w:type="paragraph" w:styleId="FootnoteText">
    <w:name w:val="footnote text"/>
    <w:basedOn w:val="Normal"/>
    <w:semiHidden/>
    <w:rsid w:val="00FA5E3B"/>
    <w:pPr>
      <w:keepLines/>
      <w:spacing w:after="0"/>
      <w:ind w:left="454" w:hanging="454"/>
    </w:pPr>
    <w:rPr>
      <w:sz w:val="16"/>
      <w:szCs w:val="16"/>
    </w:rPr>
  </w:style>
  <w:style w:type="paragraph" w:customStyle="1" w:styleId="3GPPHeader">
    <w:name w:val="3GPP_Header"/>
    <w:basedOn w:val="Normal"/>
    <w:rsid w:val="00FA5E3B"/>
    <w:pPr>
      <w:tabs>
        <w:tab w:val="left" w:pos="1701"/>
        <w:tab w:val="right" w:pos="9639"/>
      </w:tabs>
      <w:spacing w:after="240"/>
    </w:pPr>
    <w:rPr>
      <w:b/>
      <w:sz w:val="24"/>
    </w:rPr>
  </w:style>
  <w:style w:type="paragraph" w:styleId="TOC9">
    <w:name w:val="toc 9"/>
    <w:basedOn w:val="TOC8"/>
    <w:semiHidden/>
    <w:rsid w:val="00FA5E3B"/>
    <w:pPr>
      <w:ind w:left="1418" w:hanging="1418"/>
    </w:pPr>
  </w:style>
  <w:style w:type="paragraph" w:styleId="TOC6">
    <w:name w:val="toc 6"/>
    <w:basedOn w:val="TOC5"/>
    <w:next w:val="Normal"/>
    <w:semiHidden/>
    <w:rsid w:val="00FA5E3B"/>
    <w:pPr>
      <w:ind w:left="1985" w:hanging="1985"/>
    </w:pPr>
  </w:style>
  <w:style w:type="paragraph" w:styleId="TOC7">
    <w:name w:val="toc 7"/>
    <w:basedOn w:val="TOC6"/>
    <w:next w:val="Normal"/>
    <w:semiHidden/>
    <w:rsid w:val="00FA5E3B"/>
    <w:pPr>
      <w:ind w:left="2268" w:hanging="2268"/>
    </w:pPr>
  </w:style>
  <w:style w:type="paragraph" w:styleId="ListBullet2">
    <w:name w:val="List Bullet 2"/>
    <w:basedOn w:val="ListBullet"/>
    <w:rsid w:val="00FA5E3B"/>
    <w:pPr>
      <w:numPr>
        <w:numId w:val="6"/>
      </w:numPr>
    </w:pPr>
  </w:style>
  <w:style w:type="paragraph" w:styleId="ListBullet">
    <w:name w:val="List Bullet"/>
    <w:basedOn w:val="BodyText"/>
    <w:rsid w:val="00FA5E3B"/>
    <w:pPr>
      <w:numPr>
        <w:numId w:val="5"/>
      </w:numPr>
    </w:pPr>
  </w:style>
  <w:style w:type="paragraph" w:styleId="ListBullet3">
    <w:name w:val="List Bullet 3"/>
    <w:basedOn w:val="ListBullet2"/>
    <w:rsid w:val="00FA5E3B"/>
    <w:pPr>
      <w:numPr>
        <w:numId w:val="7"/>
      </w:numPr>
    </w:pPr>
  </w:style>
  <w:style w:type="paragraph" w:customStyle="1" w:styleId="EQ">
    <w:name w:val="EQ"/>
    <w:basedOn w:val="Normal"/>
    <w:next w:val="Normal"/>
    <w:rsid w:val="00FA5E3B"/>
    <w:pPr>
      <w:keepLines/>
      <w:tabs>
        <w:tab w:val="center" w:pos="4536"/>
        <w:tab w:val="right" w:pos="9072"/>
      </w:tabs>
      <w:spacing w:after="180"/>
      <w:jc w:val="left"/>
    </w:pPr>
    <w:rPr>
      <w:noProof/>
      <w:lang w:eastAsia="en-US"/>
    </w:rPr>
  </w:style>
  <w:style w:type="paragraph" w:styleId="List2">
    <w:name w:val="List 2"/>
    <w:basedOn w:val="List"/>
    <w:rsid w:val="00FA5E3B"/>
    <w:pPr>
      <w:ind w:left="851"/>
    </w:pPr>
  </w:style>
  <w:style w:type="paragraph" w:styleId="List3">
    <w:name w:val="List 3"/>
    <w:basedOn w:val="List2"/>
    <w:rsid w:val="00FA5E3B"/>
    <w:pPr>
      <w:ind w:left="1135"/>
    </w:pPr>
  </w:style>
  <w:style w:type="paragraph" w:styleId="List4">
    <w:name w:val="List 4"/>
    <w:basedOn w:val="List3"/>
    <w:rsid w:val="00FA5E3B"/>
    <w:pPr>
      <w:ind w:left="1418"/>
    </w:pPr>
  </w:style>
  <w:style w:type="paragraph" w:styleId="List5">
    <w:name w:val="List 5"/>
    <w:basedOn w:val="List4"/>
    <w:rsid w:val="00FA5E3B"/>
    <w:pPr>
      <w:ind w:left="1702"/>
    </w:pPr>
  </w:style>
  <w:style w:type="paragraph" w:customStyle="1" w:styleId="EditorsNote">
    <w:name w:val="Editor's Note"/>
    <w:basedOn w:val="Normal"/>
    <w:rsid w:val="00FA5E3B"/>
    <w:pPr>
      <w:keepLines/>
      <w:spacing w:after="180"/>
      <w:ind w:left="1135" w:hanging="851"/>
      <w:jc w:val="left"/>
    </w:pPr>
    <w:rPr>
      <w:color w:val="FF0000"/>
      <w:lang w:eastAsia="en-US"/>
    </w:rPr>
  </w:style>
  <w:style w:type="paragraph" w:styleId="ListBullet4">
    <w:name w:val="List Bullet 4"/>
    <w:basedOn w:val="ListBullet3"/>
    <w:rsid w:val="00FA5E3B"/>
    <w:pPr>
      <w:numPr>
        <w:numId w:val="8"/>
      </w:numPr>
    </w:pPr>
  </w:style>
  <w:style w:type="paragraph" w:styleId="ListBullet5">
    <w:name w:val="List Bullet 5"/>
    <w:basedOn w:val="ListBullet4"/>
    <w:rsid w:val="00FA5E3B"/>
    <w:pPr>
      <w:numPr>
        <w:numId w:val="4"/>
      </w:numPr>
    </w:pPr>
  </w:style>
  <w:style w:type="paragraph" w:styleId="Footer">
    <w:name w:val="footer"/>
    <w:basedOn w:val="Header"/>
    <w:semiHidden/>
    <w:rsid w:val="00FA5E3B"/>
    <w:pPr>
      <w:jc w:val="center"/>
    </w:pPr>
    <w:rPr>
      <w:i/>
      <w:iCs/>
    </w:rPr>
  </w:style>
  <w:style w:type="paragraph" w:customStyle="1" w:styleId="Reference">
    <w:name w:val="Reference"/>
    <w:basedOn w:val="Normal"/>
    <w:rsid w:val="00FA5E3B"/>
    <w:pPr>
      <w:numPr>
        <w:numId w:val="2"/>
      </w:numPr>
    </w:pPr>
  </w:style>
  <w:style w:type="paragraph" w:styleId="BalloonText">
    <w:name w:val="Balloon Text"/>
    <w:basedOn w:val="Normal"/>
    <w:semiHidden/>
    <w:rsid w:val="00FA5E3B"/>
    <w:rPr>
      <w:rFonts w:ascii="Tahoma" w:hAnsi="Tahoma" w:cs="Tahoma"/>
      <w:sz w:val="16"/>
      <w:szCs w:val="16"/>
    </w:rPr>
  </w:style>
  <w:style w:type="character" w:styleId="PageNumber">
    <w:name w:val="page number"/>
    <w:basedOn w:val="DefaultParagraphFont"/>
    <w:semiHidden/>
    <w:rsid w:val="00FA5E3B"/>
  </w:style>
  <w:style w:type="paragraph" w:styleId="BodyText">
    <w:name w:val="Body Text"/>
    <w:basedOn w:val="Normal"/>
    <w:link w:val="BodyTextChar"/>
    <w:rsid w:val="00FA5E3B"/>
  </w:style>
  <w:style w:type="character" w:styleId="Hyperlink">
    <w:name w:val="Hyperlink"/>
    <w:uiPriority w:val="99"/>
    <w:rsid w:val="00FA5E3B"/>
    <w:rPr>
      <w:color w:val="0000FF"/>
      <w:u w:val="single"/>
      <w:lang w:val="en-GB"/>
    </w:rPr>
  </w:style>
  <w:style w:type="character" w:styleId="FollowedHyperlink">
    <w:name w:val="FollowedHyperlink"/>
    <w:semiHidden/>
    <w:rsid w:val="00FA5E3B"/>
    <w:rPr>
      <w:color w:val="FF0000"/>
      <w:u w:val="single"/>
    </w:rPr>
  </w:style>
  <w:style w:type="character" w:styleId="CommentReference">
    <w:name w:val="annotation reference"/>
    <w:semiHidden/>
    <w:rsid w:val="00FA5E3B"/>
    <w:rPr>
      <w:sz w:val="16"/>
      <w:szCs w:val="16"/>
    </w:rPr>
  </w:style>
  <w:style w:type="paragraph" w:styleId="CommentText">
    <w:name w:val="annotation text"/>
    <w:basedOn w:val="Normal"/>
    <w:semiHidden/>
    <w:rsid w:val="00FA5E3B"/>
  </w:style>
  <w:style w:type="paragraph" w:styleId="CommentSubject">
    <w:name w:val="annotation subject"/>
    <w:basedOn w:val="CommentText"/>
    <w:next w:val="CommentText"/>
    <w:semiHidden/>
    <w:rsid w:val="00FA5E3B"/>
    <w:rPr>
      <w:b/>
      <w:bCs/>
    </w:rPr>
  </w:style>
  <w:style w:type="character" w:customStyle="1" w:styleId="Heading1Char">
    <w:name w:val="Heading 1 Char"/>
    <w:link w:val="Heading1"/>
    <w:rsid w:val="00FA5E3B"/>
    <w:rPr>
      <w:rFonts w:ascii="Arial" w:hAnsi="Arial" w:cs="Arial"/>
      <w:sz w:val="36"/>
      <w:szCs w:val="36"/>
      <w:lang w:val="en-GB" w:eastAsia="zh-CN"/>
    </w:rPr>
  </w:style>
  <w:style w:type="paragraph" w:customStyle="1" w:styleId="B1">
    <w:name w:val="B1"/>
    <w:basedOn w:val="List"/>
    <w:rsid w:val="00FA5E3B"/>
    <w:pPr>
      <w:spacing w:after="180"/>
      <w:jc w:val="left"/>
    </w:pPr>
    <w:rPr>
      <w:lang w:eastAsia="en-US"/>
    </w:rPr>
  </w:style>
  <w:style w:type="paragraph" w:customStyle="1" w:styleId="B2">
    <w:name w:val="B2"/>
    <w:basedOn w:val="List2"/>
    <w:rsid w:val="00FA5E3B"/>
    <w:pPr>
      <w:spacing w:after="180"/>
      <w:jc w:val="left"/>
    </w:pPr>
    <w:rPr>
      <w:lang w:eastAsia="en-US"/>
    </w:rPr>
  </w:style>
  <w:style w:type="paragraph" w:customStyle="1" w:styleId="B3">
    <w:name w:val="B3"/>
    <w:basedOn w:val="List3"/>
    <w:rsid w:val="00FA5E3B"/>
    <w:pPr>
      <w:spacing w:after="180"/>
      <w:jc w:val="left"/>
    </w:pPr>
    <w:rPr>
      <w:lang w:eastAsia="en-US"/>
    </w:rPr>
  </w:style>
  <w:style w:type="paragraph" w:customStyle="1" w:styleId="B4">
    <w:name w:val="B4"/>
    <w:basedOn w:val="List4"/>
    <w:rsid w:val="00FA5E3B"/>
    <w:pPr>
      <w:spacing w:after="180"/>
      <w:jc w:val="left"/>
    </w:pPr>
    <w:rPr>
      <w:lang w:eastAsia="en-US"/>
    </w:rPr>
  </w:style>
  <w:style w:type="paragraph" w:customStyle="1" w:styleId="Proposal">
    <w:name w:val="Proposal"/>
    <w:basedOn w:val="Normal"/>
    <w:rsid w:val="00FA5E3B"/>
    <w:pPr>
      <w:numPr>
        <w:numId w:val="3"/>
      </w:numPr>
      <w:tabs>
        <w:tab w:val="clear" w:pos="1304"/>
        <w:tab w:val="left" w:pos="1701"/>
      </w:tabs>
      <w:ind w:left="1701" w:hanging="1701"/>
    </w:pPr>
    <w:rPr>
      <w:b/>
      <w:bCs/>
    </w:rPr>
  </w:style>
  <w:style w:type="character" w:customStyle="1" w:styleId="BodyTextChar">
    <w:name w:val="Body Text Char"/>
    <w:link w:val="BodyText"/>
    <w:rsid w:val="00FA5E3B"/>
    <w:rPr>
      <w:rFonts w:ascii="Arial" w:hAnsi="Arial"/>
      <w:lang w:val="en-GB" w:eastAsia="zh-CN"/>
    </w:rPr>
  </w:style>
  <w:style w:type="paragraph" w:customStyle="1" w:styleId="B5">
    <w:name w:val="B5"/>
    <w:basedOn w:val="List5"/>
    <w:rsid w:val="00FA5E3B"/>
    <w:pPr>
      <w:spacing w:after="180"/>
      <w:jc w:val="left"/>
    </w:pPr>
    <w:rPr>
      <w:lang w:eastAsia="en-US"/>
    </w:rPr>
  </w:style>
  <w:style w:type="paragraph" w:customStyle="1" w:styleId="EX">
    <w:name w:val="EX"/>
    <w:basedOn w:val="Normal"/>
    <w:rsid w:val="00FA5E3B"/>
    <w:pPr>
      <w:keepLines/>
      <w:spacing w:after="180"/>
      <w:ind w:left="1702" w:hanging="1418"/>
      <w:jc w:val="left"/>
    </w:pPr>
    <w:rPr>
      <w:lang w:eastAsia="en-US"/>
    </w:rPr>
  </w:style>
  <w:style w:type="paragraph" w:customStyle="1" w:styleId="EW">
    <w:name w:val="EW"/>
    <w:basedOn w:val="EX"/>
    <w:rsid w:val="00FA5E3B"/>
    <w:pPr>
      <w:spacing w:after="0"/>
    </w:pPr>
  </w:style>
  <w:style w:type="paragraph" w:customStyle="1" w:styleId="TAL">
    <w:name w:val="TAL"/>
    <w:basedOn w:val="Normal"/>
    <w:rsid w:val="00FA5E3B"/>
    <w:pPr>
      <w:keepNext/>
      <w:keepLines/>
      <w:spacing w:after="0"/>
      <w:jc w:val="left"/>
    </w:pPr>
    <w:rPr>
      <w:sz w:val="18"/>
      <w:lang w:eastAsia="en-US"/>
    </w:rPr>
  </w:style>
  <w:style w:type="paragraph" w:customStyle="1" w:styleId="TAC">
    <w:name w:val="TAC"/>
    <w:basedOn w:val="TAL"/>
    <w:link w:val="TACChar"/>
    <w:rsid w:val="00FA5E3B"/>
    <w:pPr>
      <w:jc w:val="center"/>
    </w:pPr>
  </w:style>
  <w:style w:type="paragraph" w:customStyle="1" w:styleId="TAH">
    <w:name w:val="TAH"/>
    <w:basedOn w:val="TAC"/>
    <w:link w:val="TAHCar"/>
    <w:rsid w:val="00FA5E3B"/>
    <w:rPr>
      <w:b/>
    </w:rPr>
  </w:style>
  <w:style w:type="paragraph" w:customStyle="1" w:styleId="TAN">
    <w:name w:val="TAN"/>
    <w:basedOn w:val="TAL"/>
    <w:rsid w:val="00FA5E3B"/>
    <w:pPr>
      <w:ind w:left="851" w:hanging="851"/>
    </w:pPr>
  </w:style>
  <w:style w:type="paragraph" w:customStyle="1" w:styleId="TAR">
    <w:name w:val="TAR"/>
    <w:basedOn w:val="TAL"/>
    <w:rsid w:val="00FA5E3B"/>
    <w:pPr>
      <w:jc w:val="right"/>
    </w:pPr>
  </w:style>
  <w:style w:type="paragraph" w:customStyle="1" w:styleId="TH">
    <w:name w:val="TH"/>
    <w:basedOn w:val="Normal"/>
    <w:link w:val="THChar"/>
    <w:rsid w:val="00FA5E3B"/>
    <w:pPr>
      <w:keepNext/>
      <w:keepLines/>
      <w:spacing w:before="60" w:after="180"/>
      <w:jc w:val="center"/>
    </w:pPr>
    <w:rPr>
      <w:b/>
      <w:lang w:eastAsia="en-US"/>
    </w:rPr>
  </w:style>
  <w:style w:type="paragraph" w:customStyle="1" w:styleId="TF">
    <w:name w:val="TF"/>
    <w:basedOn w:val="TH"/>
    <w:rsid w:val="00FA5E3B"/>
    <w:pPr>
      <w:keepNext w:val="0"/>
      <w:spacing w:before="0" w:after="240"/>
    </w:pPr>
  </w:style>
  <w:style w:type="paragraph" w:customStyle="1" w:styleId="TT">
    <w:name w:val="TT"/>
    <w:basedOn w:val="Heading1"/>
    <w:next w:val="Normal"/>
    <w:rsid w:val="00FA5E3B"/>
    <w:pPr>
      <w:numPr>
        <w:numId w:val="0"/>
      </w:numPr>
      <w:ind w:left="1134" w:hanging="1134"/>
      <w:outlineLvl w:val="9"/>
    </w:pPr>
    <w:rPr>
      <w:rFonts w:cs="Times New Roman"/>
      <w:szCs w:val="20"/>
      <w:lang w:eastAsia="en-US"/>
    </w:rPr>
  </w:style>
  <w:style w:type="paragraph" w:customStyle="1" w:styleId="ZA">
    <w:name w:val="ZA"/>
    <w:rsid w:val="00FA5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A5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A5E3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A5E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A5E3B"/>
  </w:style>
  <w:style w:type="paragraph" w:customStyle="1" w:styleId="ZH">
    <w:name w:val="ZH"/>
    <w:rsid w:val="00FA5E3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A5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A5E3B"/>
    <w:pPr>
      <w:framePr w:hRule="auto" w:wrap="notBeside" w:y="852"/>
    </w:pPr>
    <w:rPr>
      <w:i w:val="0"/>
      <w:sz w:val="40"/>
    </w:rPr>
  </w:style>
  <w:style w:type="paragraph" w:customStyle="1" w:styleId="ZU">
    <w:name w:val="ZU"/>
    <w:rsid w:val="00FA5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A5E3B"/>
    <w:pPr>
      <w:framePr w:wrap="notBeside" w:y="16161"/>
    </w:pPr>
  </w:style>
  <w:style w:type="paragraph" w:customStyle="1" w:styleId="FP">
    <w:name w:val="FP"/>
    <w:basedOn w:val="Normal"/>
    <w:rsid w:val="00FA5E3B"/>
    <w:pPr>
      <w:spacing w:after="0"/>
      <w:jc w:val="left"/>
    </w:pPr>
    <w:rPr>
      <w:lang w:eastAsia="en-US"/>
    </w:rPr>
  </w:style>
  <w:style w:type="paragraph" w:customStyle="1" w:styleId="Observation">
    <w:name w:val="Observation"/>
    <w:basedOn w:val="Proposal"/>
    <w:qFormat/>
    <w:rsid w:val="00FA5E3B"/>
    <w:pPr>
      <w:numPr>
        <w:numId w:val="13"/>
      </w:numPr>
      <w:ind w:left="1701" w:hanging="1701"/>
    </w:pPr>
  </w:style>
  <w:style w:type="paragraph" w:styleId="TableofFigures">
    <w:name w:val="table of figures"/>
    <w:basedOn w:val="Normal"/>
    <w:next w:val="Normal"/>
    <w:uiPriority w:val="99"/>
    <w:rsid w:val="00FA5E3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5E3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A5E3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A5E3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A5E3B"/>
    <w:pPr>
      <w:numPr>
        <w:ilvl w:val="2"/>
      </w:numPr>
      <w:spacing w:before="120"/>
      <w:outlineLvl w:val="2"/>
    </w:pPr>
    <w:rPr>
      <w:sz w:val="28"/>
      <w:szCs w:val="28"/>
    </w:rPr>
  </w:style>
  <w:style w:type="paragraph" w:styleId="Heading4">
    <w:name w:val="heading 4"/>
    <w:basedOn w:val="Heading3"/>
    <w:next w:val="Normal"/>
    <w:qFormat/>
    <w:rsid w:val="00FA5E3B"/>
    <w:pPr>
      <w:numPr>
        <w:ilvl w:val="3"/>
      </w:numPr>
      <w:outlineLvl w:val="3"/>
    </w:pPr>
    <w:rPr>
      <w:sz w:val="24"/>
      <w:szCs w:val="24"/>
    </w:rPr>
  </w:style>
  <w:style w:type="paragraph" w:styleId="Heading5">
    <w:name w:val="heading 5"/>
    <w:basedOn w:val="Heading4"/>
    <w:next w:val="Normal"/>
    <w:qFormat/>
    <w:rsid w:val="00FA5E3B"/>
    <w:pPr>
      <w:numPr>
        <w:ilvl w:val="4"/>
      </w:numPr>
      <w:outlineLvl w:val="4"/>
    </w:pPr>
    <w:rPr>
      <w:sz w:val="22"/>
      <w:szCs w:val="22"/>
    </w:rPr>
  </w:style>
  <w:style w:type="paragraph" w:styleId="Heading6">
    <w:name w:val="heading 6"/>
    <w:basedOn w:val="Normal"/>
    <w:next w:val="Normal"/>
    <w:qFormat/>
    <w:rsid w:val="00FA5E3B"/>
    <w:pPr>
      <w:keepNext/>
      <w:keepLines/>
      <w:numPr>
        <w:ilvl w:val="5"/>
        <w:numId w:val="1"/>
      </w:numPr>
      <w:spacing w:before="120"/>
      <w:outlineLvl w:val="5"/>
    </w:pPr>
    <w:rPr>
      <w:rFonts w:cs="Arial"/>
    </w:rPr>
  </w:style>
  <w:style w:type="paragraph" w:styleId="Heading7">
    <w:name w:val="heading 7"/>
    <w:basedOn w:val="Normal"/>
    <w:next w:val="Normal"/>
    <w:qFormat/>
    <w:rsid w:val="00FA5E3B"/>
    <w:pPr>
      <w:keepNext/>
      <w:keepLines/>
      <w:numPr>
        <w:ilvl w:val="6"/>
        <w:numId w:val="1"/>
      </w:numPr>
      <w:spacing w:before="120"/>
      <w:outlineLvl w:val="6"/>
    </w:pPr>
    <w:rPr>
      <w:rFonts w:cs="Arial"/>
    </w:rPr>
  </w:style>
  <w:style w:type="paragraph" w:styleId="Heading8">
    <w:name w:val="heading 8"/>
    <w:basedOn w:val="Heading7"/>
    <w:next w:val="Normal"/>
    <w:qFormat/>
    <w:rsid w:val="00FA5E3B"/>
    <w:pPr>
      <w:numPr>
        <w:ilvl w:val="7"/>
      </w:numPr>
      <w:outlineLvl w:val="7"/>
    </w:pPr>
  </w:style>
  <w:style w:type="paragraph" w:styleId="Heading9">
    <w:name w:val="heading 9"/>
    <w:basedOn w:val="Heading8"/>
    <w:next w:val="Normal"/>
    <w:qFormat/>
    <w:rsid w:val="00FA5E3B"/>
    <w:pPr>
      <w:numPr>
        <w:ilvl w:val="8"/>
      </w:numPr>
      <w:outlineLvl w:val="8"/>
    </w:pPr>
  </w:style>
  <w:style w:type="character" w:default="1" w:styleId="DefaultParagraphFont">
    <w:name w:val="Default Paragraph Font"/>
    <w:semiHidden/>
    <w:rsid w:val="00FA5E3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5E3B"/>
  </w:style>
  <w:style w:type="paragraph" w:styleId="TOC8">
    <w:name w:val="toc 8"/>
    <w:basedOn w:val="TOC1"/>
    <w:semiHidden/>
    <w:rsid w:val="00FA5E3B"/>
    <w:pPr>
      <w:spacing w:before="180"/>
      <w:ind w:left="2693" w:hanging="2693"/>
    </w:pPr>
    <w:rPr>
      <w:b w:val="0"/>
      <w:bCs/>
    </w:rPr>
  </w:style>
  <w:style w:type="paragraph" w:styleId="TOC1">
    <w:name w:val="toc 1"/>
    <w:aliases w:val="Observation TOC2"/>
    <w:uiPriority w:val="39"/>
    <w:rsid w:val="00FA5E3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A5E3B"/>
    <w:pPr>
      <w:keepNext/>
      <w:keepLines/>
      <w:spacing w:before="180"/>
      <w:jc w:val="center"/>
    </w:pPr>
  </w:style>
  <w:style w:type="paragraph" w:styleId="Caption">
    <w:name w:val="caption"/>
    <w:basedOn w:val="Normal"/>
    <w:next w:val="Normal"/>
    <w:qFormat/>
    <w:rsid w:val="00FA5E3B"/>
    <w:pPr>
      <w:spacing w:after="240"/>
      <w:jc w:val="center"/>
    </w:pPr>
    <w:rPr>
      <w:b/>
      <w:bCs/>
    </w:rPr>
  </w:style>
  <w:style w:type="paragraph" w:styleId="TOC5">
    <w:name w:val="toc 5"/>
    <w:aliases w:val="Observation TOC"/>
    <w:basedOn w:val="TOC4"/>
    <w:semiHidden/>
    <w:rsid w:val="00FA5E3B"/>
    <w:pPr>
      <w:tabs>
        <w:tab w:val="right" w:pos="1701"/>
      </w:tabs>
      <w:ind w:left="1701" w:hanging="1701"/>
    </w:pPr>
  </w:style>
  <w:style w:type="paragraph" w:styleId="TOC4">
    <w:name w:val="toc 4"/>
    <w:basedOn w:val="TOC3"/>
    <w:semiHidden/>
    <w:rsid w:val="00FA5E3B"/>
    <w:pPr>
      <w:ind w:left="1418" w:hanging="1418"/>
    </w:pPr>
  </w:style>
  <w:style w:type="paragraph" w:styleId="TOC3">
    <w:name w:val="toc 3"/>
    <w:basedOn w:val="TOC2"/>
    <w:semiHidden/>
    <w:rsid w:val="00FA5E3B"/>
    <w:pPr>
      <w:ind w:left="1134" w:hanging="1134"/>
    </w:pPr>
  </w:style>
  <w:style w:type="paragraph" w:styleId="TOC2">
    <w:name w:val="toc 2"/>
    <w:basedOn w:val="TOC1"/>
    <w:semiHidden/>
    <w:rsid w:val="00FA5E3B"/>
    <w:pPr>
      <w:keepNext w:val="0"/>
      <w:spacing w:before="0"/>
      <w:ind w:left="851" w:hanging="851"/>
    </w:pPr>
    <w:rPr>
      <w:szCs w:val="20"/>
    </w:rPr>
  </w:style>
  <w:style w:type="paragraph" w:styleId="Index2">
    <w:name w:val="index 2"/>
    <w:basedOn w:val="Index1"/>
    <w:semiHidden/>
    <w:rsid w:val="00FA5E3B"/>
    <w:pPr>
      <w:ind w:left="284"/>
    </w:pPr>
  </w:style>
  <w:style w:type="paragraph" w:styleId="Index1">
    <w:name w:val="index 1"/>
    <w:basedOn w:val="Normal"/>
    <w:semiHidden/>
    <w:rsid w:val="00FA5E3B"/>
    <w:pPr>
      <w:keepLines/>
      <w:spacing w:after="0"/>
    </w:pPr>
  </w:style>
  <w:style w:type="paragraph" w:styleId="DocumentMap">
    <w:name w:val="Document Map"/>
    <w:basedOn w:val="Normal"/>
    <w:semiHidden/>
    <w:rsid w:val="00FA5E3B"/>
    <w:pPr>
      <w:shd w:val="clear" w:color="auto" w:fill="000080"/>
    </w:pPr>
    <w:rPr>
      <w:rFonts w:ascii="Tahoma" w:hAnsi="Tahoma" w:cs="Tahoma"/>
    </w:rPr>
  </w:style>
  <w:style w:type="paragraph" w:styleId="ListNumber2">
    <w:name w:val="List Number 2"/>
    <w:basedOn w:val="ListNumber"/>
    <w:rsid w:val="00FA5E3B"/>
    <w:pPr>
      <w:ind w:left="851"/>
    </w:pPr>
  </w:style>
  <w:style w:type="paragraph" w:styleId="ListNumber">
    <w:name w:val="List Number"/>
    <w:basedOn w:val="List"/>
    <w:rsid w:val="00FA5E3B"/>
  </w:style>
  <w:style w:type="paragraph" w:styleId="List">
    <w:name w:val="List"/>
    <w:basedOn w:val="Normal"/>
    <w:rsid w:val="00FA5E3B"/>
    <w:pPr>
      <w:ind w:left="568" w:hanging="284"/>
    </w:pPr>
  </w:style>
  <w:style w:type="paragraph" w:styleId="Header">
    <w:name w:val="header"/>
    <w:rsid w:val="00FA5E3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A5E3B"/>
    <w:rPr>
      <w:b/>
      <w:bCs/>
      <w:position w:val="6"/>
      <w:sz w:val="16"/>
      <w:szCs w:val="16"/>
    </w:rPr>
  </w:style>
  <w:style w:type="paragraph" w:styleId="FootnoteText">
    <w:name w:val="footnote text"/>
    <w:basedOn w:val="Normal"/>
    <w:semiHidden/>
    <w:rsid w:val="00FA5E3B"/>
    <w:pPr>
      <w:keepLines/>
      <w:spacing w:after="0"/>
      <w:ind w:left="454" w:hanging="454"/>
    </w:pPr>
    <w:rPr>
      <w:sz w:val="16"/>
      <w:szCs w:val="16"/>
    </w:rPr>
  </w:style>
  <w:style w:type="paragraph" w:customStyle="1" w:styleId="3GPPHeader">
    <w:name w:val="3GPP_Header"/>
    <w:basedOn w:val="Normal"/>
    <w:rsid w:val="00FA5E3B"/>
    <w:pPr>
      <w:tabs>
        <w:tab w:val="left" w:pos="1701"/>
        <w:tab w:val="right" w:pos="9639"/>
      </w:tabs>
      <w:spacing w:after="240"/>
    </w:pPr>
    <w:rPr>
      <w:b/>
      <w:sz w:val="24"/>
    </w:rPr>
  </w:style>
  <w:style w:type="paragraph" w:styleId="TOC9">
    <w:name w:val="toc 9"/>
    <w:basedOn w:val="TOC8"/>
    <w:semiHidden/>
    <w:rsid w:val="00FA5E3B"/>
    <w:pPr>
      <w:ind w:left="1418" w:hanging="1418"/>
    </w:pPr>
  </w:style>
  <w:style w:type="paragraph" w:styleId="TOC6">
    <w:name w:val="toc 6"/>
    <w:basedOn w:val="TOC5"/>
    <w:next w:val="Normal"/>
    <w:semiHidden/>
    <w:rsid w:val="00FA5E3B"/>
    <w:pPr>
      <w:ind w:left="1985" w:hanging="1985"/>
    </w:pPr>
  </w:style>
  <w:style w:type="paragraph" w:styleId="TOC7">
    <w:name w:val="toc 7"/>
    <w:basedOn w:val="TOC6"/>
    <w:next w:val="Normal"/>
    <w:semiHidden/>
    <w:rsid w:val="00FA5E3B"/>
    <w:pPr>
      <w:ind w:left="2268" w:hanging="2268"/>
    </w:pPr>
  </w:style>
  <w:style w:type="paragraph" w:styleId="ListBullet2">
    <w:name w:val="List Bullet 2"/>
    <w:basedOn w:val="ListBullet"/>
    <w:rsid w:val="00FA5E3B"/>
    <w:pPr>
      <w:numPr>
        <w:numId w:val="6"/>
      </w:numPr>
    </w:pPr>
  </w:style>
  <w:style w:type="paragraph" w:styleId="ListBullet">
    <w:name w:val="List Bullet"/>
    <w:basedOn w:val="BodyText"/>
    <w:rsid w:val="00FA5E3B"/>
    <w:pPr>
      <w:numPr>
        <w:numId w:val="5"/>
      </w:numPr>
    </w:pPr>
  </w:style>
  <w:style w:type="paragraph" w:styleId="ListBullet3">
    <w:name w:val="List Bullet 3"/>
    <w:basedOn w:val="ListBullet2"/>
    <w:rsid w:val="00FA5E3B"/>
    <w:pPr>
      <w:numPr>
        <w:numId w:val="7"/>
      </w:numPr>
    </w:pPr>
  </w:style>
  <w:style w:type="paragraph" w:customStyle="1" w:styleId="EQ">
    <w:name w:val="EQ"/>
    <w:basedOn w:val="Normal"/>
    <w:next w:val="Normal"/>
    <w:rsid w:val="00FA5E3B"/>
    <w:pPr>
      <w:keepLines/>
      <w:tabs>
        <w:tab w:val="center" w:pos="4536"/>
        <w:tab w:val="right" w:pos="9072"/>
      </w:tabs>
      <w:spacing w:after="180"/>
      <w:jc w:val="left"/>
    </w:pPr>
    <w:rPr>
      <w:noProof/>
      <w:lang w:eastAsia="en-US"/>
    </w:rPr>
  </w:style>
  <w:style w:type="paragraph" w:styleId="List2">
    <w:name w:val="List 2"/>
    <w:basedOn w:val="List"/>
    <w:rsid w:val="00FA5E3B"/>
    <w:pPr>
      <w:ind w:left="851"/>
    </w:pPr>
  </w:style>
  <w:style w:type="paragraph" w:styleId="List3">
    <w:name w:val="List 3"/>
    <w:basedOn w:val="List2"/>
    <w:rsid w:val="00FA5E3B"/>
    <w:pPr>
      <w:ind w:left="1135"/>
    </w:pPr>
  </w:style>
  <w:style w:type="paragraph" w:styleId="List4">
    <w:name w:val="List 4"/>
    <w:basedOn w:val="List3"/>
    <w:rsid w:val="00FA5E3B"/>
    <w:pPr>
      <w:ind w:left="1418"/>
    </w:pPr>
  </w:style>
  <w:style w:type="paragraph" w:styleId="List5">
    <w:name w:val="List 5"/>
    <w:basedOn w:val="List4"/>
    <w:rsid w:val="00FA5E3B"/>
    <w:pPr>
      <w:ind w:left="1702"/>
    </w:pPr>
  </w:style>
  <w:style w:type="paragraph" w:customStyle="1" w:styleId="EditorsNote">
    <w:name w:val="Editor's Note"/>
    <w:basedOn w:val="Normal"/>
    <w:rsid w:val="00FA5E3B"/>
    <w:pPr>
      <w:keepLines/>
      <w:spacing w:after="180"/>
      <w:ind w:left="1135" w:hanging="851"/>
      <w:jc w:val="left"/>
    </w:pPr>
    <w:rPr>
      <w:color w:val="FF0000"/>
      <w:lang w:eastAsia="en-US"/>
    </w:rPr>
  </w:style>
  <w:style w:type="paragraph" w:styleId="ListBullet4">
    <w:name w:val="List Bullet 4"/>
    <w:basedOn w:val="ListBullet3"/>
    <w:rsid w:val="00FA5E3B"/>
    <w:pPr>
      <w:numPr>
        <w:numId w:val="8"/>
      </w:numPr>
    </w:pPr>
  </w:style>
  <w:style w:type="paragraph" w:styleId="ListBullet5">
    <w:name w:val="List Bullet 5"/>
    <w:basedOn w:val="ListBullet4"/>
    <w:rsid w:val="00FA5E3B"/>
    <w:pPr>
      <w:numPr>
        <w:numId w:val="4"/>
      </w:numPr>
    </w:pPr>
  </w:style>
  <w:style w:type="paragraph" w:styleId="Footer">
    <w:name w:val="footer"/>
    <w:basedOn w:val="Header"/>
    <w:semiHidden/>
    <w:rsid w:val="00FA5E3B"/>
    <w:pPr>
      <w:jc w:val="center"/>
    </w:pPr>
    <w:rPr>
      <w:i/>
      <w:iCs/>
    </w:rPr>
  </w:style>
  <w:style w:type="paragraph" w:customStyle="1" w:styleId="Reference">
    <w:name w:val="Reference"/>
    <w:basedOn w:val="Normal"/>
    <w:rsid w:val="00FA5E3B"/>
    <w:pPr>
      <w:numPr>
        <w:numId w:val="2"/>
      </w:numPr>
    </w:pPr>
  </w:style>
  <w:style w:type="paragraph" w:styleId="BalloonText">
    <w:name w:val="Balloon Text"/>
    <w:basedOn w:val="Normal"/>
    <w:semiHidden/>
    <w:rsid w:val="00FA5E3B"/>
    <w:rPr>
      <w:rFonts w:ascii="Tahoma" w:hAnsi="Tahoma" w:cs="Tahoma"/>
      <w:sz w:val="16"/>
      <w:szCs w:val="16"/>
    </w:rPr>
  </w:style>
  <w:style w:type="character" w:styleId="PageNumber">
    <w:name w:val="page number"/>
    <w:basedOn w:val="DefaultParagraphFont"/>
    <w:semiHidden/>
    <w:rsid w:val="00FA5E3B"/>
  </w:style>
  <w:style w:type="paragraph" w:styleId="BodyText">
    <w:name w:val="Body Text"/>
    <w:basedOn w:val="Normal"/>
    <w:link w:val="BodyTextChar"/>
    <w:rsid w:val="00FA5E3B"/>
  </w:style>
  <w:style w:type="character" w:styleId="Hyperlink">
    <w:name w:val="Hyperlink"/>
    <w:uiPriority w:val="99"/>
    <w:rsid w:val="00FA5E3B"/>
    <w:rPr>
      <w:color w:val="0000FF"/>
      <w:u w:val="single"/>
      <w:lang w:val="en-GB"/>
    </w:rPr>
  </w:style>
  <w:style w:type="character" w:styleId="FollowedHyperlink">
    <w:name w:val="FollowedHyperlink"/>
    <w:semiHidden/>
    <w:rsid w:val="00FA5E3B"/>
    <w:rPr>
      <w:color w:val="FF0000"/>
      <w:u w:val="single"/>
    </w:rPr>
  </w:style>
  <w:style w:type="character" w:styleId="CommentReference">
    <w:name w:val="annotation reference"/>
    <w:semiHidden/>
    <w:rsid w:val="00FA5E3B"/>
    <w:rPr>
      <w:sz w:val="16"/>
      <w:szCs w:val="16"/>
    </w:rPr>
  </w:style>
  <w:style w:type="paragraph" w:styleId="CommentText">
    <w:name w:val="annotation text"/>
    <w:basedOn w:val="Normal"/>
    <w:semiHidden/>
    <w:rsid w:val="00FA5E3B"/>
  </w:style>
  <w:style w:type="paragraph" w:styleId="CommentSubject">
    <w:name w:val="annotation subject"/>
    <w:basedOn w:val="CommentText"/>
    <w:next w:val="CommentText"/>
    <w:semiHidden/>
    <w:rsid w:val="00FA5E3B"/>
    <w:rPr>
      <w:b/>
      <w:bCs/>
    </w:rPr>
  </w:style>
  <w:style w:type="character" w:customStyle="1" w:styleId="Heading1Char">
    <w:name w:val="Heading 1 Char"/>
    <w:link w:val="Heading1"/>
    <w:rsid w:val="00FA5E3B"/>
    <w:rPr>
      <w:rFonts w:ascii="Arial" w:hAnsi="Arial" w:cs="Arial"/>
      <w:sz w:val="36"/>
      <w:szCs w:val="36"/>
      <w:lang w:val="en-GB" w:eastAsia="zh-CN"/>
    </w:rPr>
  </w:style>
  <w:style w:type="paragraph" w:customStyle="1" w:styleId="B1">
    <w:name w:val="B1"/>
    <w:basedOn w:val="List"/>
    <w:rsid w:val="00FA5E3B"/>
    <w:pPr>
      <w:spacing w:after="180"/>
      <w:jc w:val="left"/>
    </w:pPr>
    <w:rPr>
      <w:lang w:eastAsia="en-US"/>
    </w:rPr>
  </w:style>
  <w:style w:type="paragraph" w:customStyle="1" w:styleId="B2">
    <w:name w:val="B2"/>
    <w:basedOn w:val="List2"/>
    <w:rsid w:val="00FA5E3B"/>
    <w:pPr>
      <w:spacing w:after="180"/>
      <w:jc w:val="left"/>
    </w:pPr>
    <w:rPr>
      <w:lang w:eastAsia="en-US"/>
    </w:rPr>
  </w:style>
  <w:style w:type="paragraph" w:customStyle="1" w:styleId="B3">
    <w:name w:val="B3"/>
    <w:basedOn w:val="List3"/>
    <w:rsid w:val="00FA5E3B"/>
    <w:pPr>
      <w:spacing w:after="180"/>
      <w:jc w:val="left"/>
    </w:pPr>
    <w:rPr>
      <w:lang w:eastAsia="en-US"/>
    </w:rPr>
  </w:style>
  <w:style w:type="paragraph" w:customStyle="1" w:styleId="B4">
    <w:name w:val="B4"/>
    <w:basedOn w:val="List4"/>
    <w:rsid w:val="00FA5E3B"/>
    <w:pPr>
      <w:spacing w:after="180"/>
      <w:jc w:val="left"/>
    </w:pPr>
    <w:rPr>
      <w:lang w:eastAsia="en-US"/>
    </w:rPr>
  </w:style>
  <w:style w:type="paragraph" w:customStyle="1" w:styleId="Proposal">
    <w:name w:val="Proposal"/>
    <w:basedOn w:val="Normal"/>
    <w:rsid w:val="00FA5E3B"/>
    <w:pPr>
      <w:numPr>
        <w:numId w:val="3"/>
      </w:numPr>
      <w:tabs>
        <w:tab w:val="clear" w:pos="1304"/>
        <w:tab w:val="left" w:pos="1701"/>
      </w:tabs>
      <w:ind w:left="1701" w:hanging="1701"/>
    </w:pPr>
    <w:rPr>
      <w:b/>
      <w:bCs/>
    </w:rPr>
  </w:style>
  <w:style w:type="character" w:customStyle="1" w:styleId="BodyTextChar">
    <w:name w:val="Body Text Char"/>
    <w:link w:val="BodyText"/>
    <w:rsid w:val="00FA5E3B"/>
    <w:rPr>
      <w:rFonts w:ascii="Arial" w:hAnsi="Arial"/>
      <w:lang w:val="en-GB" w:eastAsia="zh-CN"/>
    </w:rPr>
  </w:style>
  <w:style w:type="paragraph" w:customStyle="1" w:styleId="B5">
    <w:name w:val="B5"/>
    <w:basedOn w:val="List5"/>
    <w:rsid w:val="00FA5E3B"/>
    <w:pPr>
      <w:spacing w:after="180"/>
      <w:jc w:val="left"/>
    </w:pPr>
    <w:rPr>
      <w:lang w:eastAsia="en-US"/>
    </w:rPr>
  </w:style>
  <w:style w:type="paragraph" w:customStyle="1" w:styleId="EX">
    <w:name w:val="EX"/>
    <w:basedOn w:val="Normal"/>
    <w:rsid w:val="00FA5E3B"/>
    <w:pPr>
      <w:keepLines/>
      <w:spacing w:after="180"/>
      <w:ind w:left="1702" w:hanging="1418"/>
      <w:jc w:val="left"/>
    </w:pPr>
    <w:rPr>
      <w:lang w:eastAsia="en-US"/>
    </w:rPr>
  </w:style>
  <w:style w:type="paragraph" w:customStyle="1" w:styleId="EW">
    <w:name w:val="EW"/>
    <w:basedOn w:val="EX"/>
    <w:rsid w:val="00FA5E3B"/>
    <w:pPr>
      <w:spacing w:after="0"/>
    </w:pPr>
  </w:style>
  <w:style w:type="paragraph" w:customStyle="1" w:styleId="TAL">
    <w:name w:val="TAL"/>
    <w:basedOn w:val="Normal"/>
    <w:rsid w:val="00FA5E3B"/>
    <w:pPr>
      <w:keepNext/>
      <w:keepLines/>
      <w:spacing w:after="0"/>
      <w:jc w:val="left"/>
    </w:pPr>
    <w:rPr>
      <w:sz w:val="18"/>
      <w:lang w:eastAsia="en-US"/>
    </w:rPr>
  </w:style>
  <w:style w:type="paragraph" w:customStyle="1" w:styleId="TAC">
    <w:name w:val="TAC"/>
    <w:basedOn w:val="TAL"/>
    <w:link w:val="TACChar"/>
    <w:rsid w:val="00FA5E3B"/>
    <w:pPr>
      <w:jc w:val="center"/>
    </w:pPr>
  </w:style>
  <w:style w:type="paragraph" w:customStyle="1" w:styleId="TAH">
    <w:name w:val="TAH"/>
    <w:basedOn w:val="TAC"/>
    <w:link w:val="TAHCar"/>
    <w:rsid w:val="00FA5E3B"/>
    <w:rPr>
      <w:b/>
    </w:rPr>
  </w:style>
  <w:style w:type="paragraph" w:customStyle="1" w:styleId="TAN">
    <w:name w:val="TAN"/>
    <w:basedOn w:val="TAL"/>
    <w:rsid w:val="00FA5E3B"/>
    <w:pPr>
      <w:ind w:left="851" w:hanging="851"/>
    </w:pPr>
  </w:style>
  <w:style w:type="paragraph" w:customStyle="1" w:styleId="TAR">
    <w:name w:val="TAR"/>
    <w:basedOn w:val="TAL"/>
    <w:rsid w:val="00FA5E3B"/>
    <w:pPr>
      <w:jc w:val="right"/>
    </w:pPr>
  </w:style>
  <w:style w:type="paragraph" w:customStyle="1" w:styleId="TH">
    <w:name w:val="TH"/>
    <w:basedOn w:val="Normal"/>
    <w:link w:val="THChar"/>
    <w:rsid w:val="00FA5E3B"/>
    <w:pPr>
      <w:keepNext/>
      <w:keepLines/>
      <w:spacing w:before="60" w:after="180"/>
      <w:jc w:val="center"/>
    </w:pPr>
    <w:rPr>
      <w:b/>
      <w:lang w:eastAsia="en-US"/>
    </w:rPr>
  </w:style>
  <w:style w:type="paragraph" w:customStyle="1" w:styleId="TF">
    <w:name w:val="TF"/>
    <w:basedOn w:val="TH"/>
    <w:rsid w:val="00FA5E3B"/>
    <w:pPr>
      <w:keepNext w:val="0"/>
      <w:spacing w:before="0" w:after="240"/>
    </w:pPr>
  </w:style>
  <w:style w:type="paragraph" w:customStyle="1" w:styleId="TT">
    <w:name w:val="TT"/>
    <w:basedOn w:val="Heading1"/>
    <w:next w:val="Normal"/>
    <w:rsid w:val="00FA5E3B"/>
    <w:pPr>
      <w:numPr>
        <w:numId w:val="0"/>
      </w:numPr>
      <w:ind w:left="1134" w:hanging="1134"/>
      <w:outlineLvl w:val="9"/>
    </w:pPr>
    <w:rPr>
      <w:rFonts w:cs="Times New Roman"/>
      <w:szCs w:val="20"/>
      <w:lang w:eastAsia="en-US"/>
    </w:rPr>
  </w:style>
  <w:style w:type="paragraph" w:customStyle="1" w:styleId="ZA">
    <w:name w:val="ZA"/>
    <w:rsid w:val="00FA5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A5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A5E3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A5E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A5E3B"/>
  </w:style>
  <w:style w:type="paragraph" w:customStyle="1" w:styleId="ZH">
    <w:name w:val="ZH"/>
    <w:rsid w:val="00FA5E3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A5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A5E3B"/>
    <w:pPr>
      <w:framePr w:hRule="auto" w:wrap="notBeside" w:y="852"/>
    </w:pPr>
    <w:rPr>
      <w:i w:val="0"/>
      <w:sz w:val="40"/>
    </w:rPr>
  </w:style>
  <w:style w:type="paragraph" w:customStyle="1" w:styleId="ZU">
    <w:name w:val="ZU"/>
    <w:rsid w:val="00FA5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A5E3B"/>
    <w:pPr>
      <w:framePr w:wrap="notBeside" w:y="16161"/>
    </w:pPr>
  </w:style>
  <w:style w:type="paragraph" w:customStyle="1" w:styleId="FP">
    <w:name w:val="FP"/>
    <w:basedOn w:val="Normal"/>
    <w:rsid w:val="00FA5E3B"/>
    <w:pPr>
      <w:spacing w:after="0"/>
      <w:jc w:val="left"/>
    </w:pPr>
    <w:rPr>
      <w:lang w:eastAsia="en-US"/>
    </w:rPr>
  </w:style>
  <w:style w:type="paragraph" w:customStyle="1" w:styleId="Observation">
    <w:name w:val="Observation"/>
    <w:basedOn w:val="Proposal"/>
    <w:qFormat/>
    <w:rsid w:val="00FA5E3B"/>
    <w:pPr>
      <w:numPr>
        <w:numId w:val="13"/>
      </w:numPr>
      <w:ind w:left="1701" w:hanging="1701"/>
    </w:pPr>
  </w:style>
  <w:style w:type="paragraph" w:styleId="TableofFigures">
    <w:name w:val="table of figures"/>
    <w:basedOn w:val="Normal"/>
    <w:next w:val="Normal"/>
    <w:uiPriority w:val="99"/>
    <w:rsid w:val="00FA5E3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14648">
      <w:bodyDiv w:val="1"/>
      <w:marLeft w:val="0"/>
      <w:marRight w:val="0"/>
      <w:marTop w:val="0"/>
      <w:marBottom w:val="0"/>
      <w:divBdr>
        <w:top w:val="none" w:sz="0" w:space="0" w:color="auto"/>
        <w:left w:val="none" w:sz="0" w:space="0" w:color="auto"/>
        <w:bottom w:val="none" w:sz="0" w:space="0" w:color="auto"/>
        <w:right w:val="none" w:sz="0" w:space="0" w:color="auto"/>
      </w:divBdr>
    </w:div>
    <w:div w:id="232862583">
      <w:bodyDiv w:val="1"/>
      <w:marLeft w:val="0"/>
      <w:marRight w:val="0"/>
      <w:marTop w:val="0"/>
      <w:marBottom w:val="0"/>
      <w:divBdr>
        <w:top w:val="none" w:sz="0" w:space="0" w:color="auto"/>
        <w:left w:val="none" w:sz="0" w:space="0" w:color="auto"/>
        <w:bottom w:val="none" w:sz="0" w:space="0" w:color="auto"/>
        <w:right w:val="none" w:sz="0" w:space="0" w:color="auto"/>
      </w:divBdr>
      <w:divsChild>
        <w:div w:id="981346317">
          <w:marLeft w:val="274"/>
          <w:marRight w:val="0"/>
          <w:marTop w:val="86"/>
          <w:marBottom w:val="0"/>
          <w:divBdr>
            <w:top w:val="none" w:sz="0" w:space="0" w:color="auto"/>
            <w:left w:val="none" w:sz="0" w:space="0" w:color="auto"/>
            <w:bottom w:val="none" w:sz="0" w:space="0" w:color="auto"/>
            <w:right w:val="none" w:sz="0" w:space="0" w:color="auto"/>
          </w:divBdr>
        </w:div>
        <w:div w:id="1347900118">
          <w:marLeft w:val="835"/>
          <w:marRight w:val="0"/>
          <w:marTop w:val="77"/>
          <w:marBottom w:val="0"/>
          <w:divBdr>
            <w:top w:val="none" w:sz="0" w:space="0" w:color="auto"/>
            <w:left w:val="none" w:sz="0" w:space="0" w:color="auto"/>
            <w:bottom w:val="none" w:sz="0" w:space="0" w:color="auto"/>
            <w:right w:val="none" w:sz="0" w:space="0" w:color="auto"/>
          </w:divBdr>
        </w:div>
        <w:div w:id="1486242680">
          <w:marLeft w:val="835"/>
          <w:marRight w:val="0"/>
          <w:marTop w:val="77"/>
          <w:marBottom w:val="0"/>
          <w:divBdr>
            <w:top w:val="none" w:sz="0" w:space="0" w:color="auto"/>
            <w:left w:val="none" w:sz="0" w:space="0" w:color="auto"/>
            <w:bottom w:val="none" w:sz="0" w:space="0" w:color="auto"/>
            <w:right w:val="none" w:sz="0" w:space="0" w:color="auto"/>
          </w:divBdr>
        </w:div>
      </w:divsChild>
    </w:div>
    <w:div w:id="359207298">
      <w:bodyDiv w:val="1"/>
      <w:marLeft w:val="0"/>
      <w:marRight w:val="0"/>
      <w:marTop w:val="0"/>
      <w:marBottom w:val="0"/>
      <w:divBdr>
        <w:top w:val="none" w:sz="0" w:space="0" w:color="auto"/>
        <w:left w:val="none" w:sz="0" w:space="0" w:color="auto"/>
        <w:bottom w:val="none" w:sz="0" w:space="0" w:color="auto"/>
        <w:right w:val="none" w:sz="0" w:space="0" w:color="auto"/>
      </w:divBdr>
    </w:div>
    <w:div w:id="660158248">
      <w:bodyDiv w:val="1"/>
      <w:marLeft w:val="0"/>
      <w:marRight w:val="0"/>
      <w:marTop w:val="0"/>
      <w:marBottom w:val="0"/>
      <w:divBdr>
        <w:top w:val="none" w:sz="0" w:space="0" w:color="auto"/>
        <w:left w:val="none" w:sz="0" w:space="0" w:color="auto"/>
        <w:bottom w:val="none" w:sz="0" w:space="0" w:color="auto"/>
        <w:right w:val="none" w:sz="0" w:space="0" w:color="auto"/>
      </w:divBdr>
    </w:div>
    <w:div w:id="981302476">
      <w:bodyDiv w:val="1"/>
      <w:marLeft w:val="0"/>
      <w:marRight w:val="0"/>
      <w:marTop w:val="0"/>
      <w:marBottom w:val="0"/>
      <w:divBdr>
        <w:top w:val="none" w:sz="0" w:space="0" w:color="auto"/>
        <w:left w:val="none" w:sz="0" w:space="0" w:color="auto"/>
        <w:bottom w:val="none" w:sz="0" w:space="0" w:color="auto"/>
        <w:right w:val="none" w:sz="0" w:space="0" w:color="auto"/>
      </w:divBdr>
      <w:divsChild>
        <w:div w:id="1291976910">
          <w:marLeft w:val="835"/>
          <w:marRight w:val="0"/>
          <w:marTop w:val="67"/>
          <w:marBottom w:val="0"/>
          <w:divBdr>
            <w:top w:val="none" w:sz="0" w:space="0" w:color="auto"/>
            <w:left w:val="none" w:sz="0" w:space="0" w:color="auto"/>
            <w:bottom w:val="none" w:sz="0" w:space="0" w:color="auto"/>
            <w:right w:val="none" w:sz="0" w:space="0" w:color="auto"/>
          </w:divBdr>
        </w:div>
        <w:div w:id="1798136489">
          <w:marLeft w:val="274"/>
          <w:marRight w:val="0"/>
          <w:marTop w:val="86"/>
          <w:marBottom w:val="0"/>
          <w:divBdr>
            <w:top w:val="none" w:sz="0" w:space="0" w:color="auto"/>
            <w:left w:val="none" w:sz="0" w:space="0" w:color="auto"/>
            <w:bottom w:val="none" w:sz="0" w:space="0" w:color="auto"/>
            <w:right w:val="none" w:sz="0" w:space="0" w:color="auto"/>
          </w:divBdr>
        </w:div>
        <w:div w:id="1801340077">
          <w:marLeft w:val="835"/>
          <w:marRight w:val="0"/>
          <w:marTop w:val="67"/>
          <w:marBottom w:val="0"/>
          <w:divBdr>
            <w:top w:val="none" w:sz="0" w:space="0" w:color="auto"/>
            <w:left w:val="none" w:sz="0" w:space="0" w:color="auto"/>
            <w:bottom w:val="none" w:sz="0" w:space="0" w:color="auto"/>
            <w:right w:val="none" w:sz="0" w:space="0" w:color="auto"/>
          </w:divBdr>
        </w:div>
        <w:div w:id="2017265878">
          <w:marLeft w:val="835"/>
          <w:marRight w:val="0"/>
          <w:marTop w:val="67"/>
          <w:marBottom w:val="0"/>
          <w:divBdr>
            <w:top w:val="none" w:sz="0" w:space="0" w:color="auto"/>
            <w:left w:val="none" w:sz="0" w:space="0" w:color="auto"/>
            <w:bottom w:val="none" w:sz="0" w:space="0" w:color="auto"/>
            <w:right w:val="none" w:sz="0" w:space="0" w:color="auto"/>
          </w:divBdr>
        </w:div>
      </w:divsChild>
    </w:div>
    <w:div w:id="1063139377">
      <w:bodyDiv w:val="1"/>
      <w:marLeft w:val="0"/>
      <w:marRight w:val="0"/>
      <w:marTop w:val="0"/>
      <w:marBottom w:val="0"/>
      <w:divBdr>
        <w:top w:val="none" w:sz="0" w:space="0" w:color="auto"/>
        <w:left w:val="none" w:sz="0" w:space="0" w:color="auto"/>
        <w:bottom w:val="none" w:sz="0" w:space="0" w:color="auto"/>
        <w:right w:val="none" w:sz="0" w:space="0" w:color="auto"/>
      </w:divBdr>
    </w:div>
    <w:div w:id="1090854363">
      <w:bodyDiv w:val="1"/>
      <w:marLeft w:val="0"/>
      <w:marRight w:val="0"/>
      <w:marTop w:val="0"/>
      <w:marBottom w:val="0"/>
      <w:divBdr>
        <w:top w:val="none" w:sz="0" w:space="0" w:color="auto"/>
        <w:left w:val="none" w:sz="0" w:space="0" w:color="auto"/>
        <w:bottom w:val="none" w:sz="0" w:space="0" w:color="auto"/>
        <w:right w:val="none" w:sz="0" w:space="0" w:color="auto"/>
      </w:divBdr>
    </w:div>
    <w:div w:id="1151673191">
      <w:bodyDiv w:val="1"/>
      <w:marLeft w:val="0"/>
      <w:marRight w:val="0"/>
      <w:marTop w:val="0"/>
      <w:marBottom w:val="0"/>
      <w:divBdr>
        <w:top w:val="none" w:sz="0" w:space="0" w:color="auto"/>
        <w:left w:val="none" w:sz="0" w:space="0" w:color="auto"/>
        <w:bottom w:val="none" w:sz="0" w:space="0" w:color="auto"/>
        <w:right w:val="none" w:sz="0" w:space="0" w:color="auto"/>
      </w:divBdr>
      <w:divsChild>
        <w:div w:id="1424375027">
          <w:marLeft w:val="274"/>
          <w:marRight w:val="0"/>
          <w:marTop w:val="96"/>
          <w:marBottom w:val="0"/>
          <w:divBdr>
            <w:top w:val="none" w:sz="0" w:space="0" w:color="auto"/>
            <w:left w:val="none" w:sz="0" w:space="0" w:color="auto"/>
            <w:bottom w:val="none" w:sz="0" w:space="0" w:color="auto"/>
            <w:right w:val="none" w:sz="0" w:space="0" w:color="auto"/>
          </w:divBdr>
        </w:div>
      </w:divsChild>
    </w:div>
    <w:div w:id="1505702255">
      <w:bodyDiv w:val="1"/>
      <w:marLeft w:val="0"/>
      <w:marRight w:val="0"/>
      <w:marTop w:val="0"/>
      <w:marBottom w:val="0"/>
      <w:divBdr>
        <w:top w:val="none" w:sz="0" w:space="0" w:color="auto"/>
        <w:left w:val="none" w:sz="0" w:space="0" w:color="auto"/>
        <w:bottom w:val="none" w:sz="0" w:space="0" w:color="auto"/>
        <w:right w:val="none" w:sz="0" w:space="0" w:color="auto"/>
      </w:divBdr>
      <w:divsChild>
        <w:div w:id="1671061473">
          <w:marLeft w:val="835"/>
          <w:marRight w:val="0"/>
          <w:marTop w:val="62"/>
          <w:marBottom w:val="0"/>
          <w:divBdr>
            <w:top w:val="none" w:sz="0" w:space="0" w:color="auto"/>
            <w:left w:val="none" w:sz="0" w:space="0" w:color="auto"/>
            <w:bottom w:val="none" w:sz="0" w:space="0" w:color="auto"/>
            <w:right w:val="none" w:sz="0" w:space="0" w:color="auto"/>
          </w:divBdr>
        </w:div>
      </w:divsChild>
    </w:div>
    <w:div w:id="1586257976">
      <w:bodyDiv w:val="1"/>
      <w:marLeft w:val="0"/>
      <w:marRight w:val="0"/>
      <w:marTop w:val="0"/>
      <w:marBottom w:val="0"/>
      <w:divBdr>
        <w:top w:val="none" w:sz="0" w:space="0" w:color="auto"/>
        <w:left w:val="none" w:sz="0" w:space="0" w:color="auto"/>
        <w:bottom w:val="none" w:sz="0" w:space="0" w:color="auto"/>
        <w:right w:val="none" w:sz="0" w:space="0" w:color="auto"/>
      </w:divBdr>
    </w:div>
    <w:div w:id="1842234137">
      <w:bodyDiv w:val="1"/>
      <w:marLeft w:val="0"/>
      <w:marRight w:val="0"/>
      <w:marTop w:val="0"/>
      <w:marBottom w:val="0"/>
      <w:divBdr>
        <w:top w:val="none" w:sz="0" w:space="0" w:color="auto"/>
        <w:left w:val="none" w:sz="0" w:space="0" w:color="auto"/>
        <w:bottom w:val="none" w:sz="0" w:space="0" w:color="auto"/>
        <w:right w:val="none" w:sz="0" w:space="0" w:color="auto"/>
      </w:divBdr>
    </w:div>
    <w:div w:id="1982924785">
      <w:bodyDiv w:val="1"/>
      <w:marLeft w:val="0"/>
      <w:marRight w:val="0"/>
      <w:marTop w:val="0"/>
      <w:marBottom w:val="0"/>
      <w:divBdr>
        <w:top w:val="none" w:sz="0" w:space="0" w:color="auto"/>
        <w:left w:val="none" w:sz="0" w:space="0" w:color="auto"/>
        <w:bottom w:val="none" w:sz="0" w:space="0" w:color="auto"/>
        <w:right w:val="none" w:sz="0" w:space="0" w:color="auto"/>
      </w:divBdr>
    </w:div>
    <w:div w:id="2037148843">
      <w:bodyDiv w:val="1"/>
      <w:marLeft w:val="0"/>
      <w:marRight w:val="0"/>
      <w:marTop w:val="0"/>
      <w:marBottom w:val="0"/>
      <w:divBdr>
        <w:top w:val="none" w:sz="0" w:space="0" w:color="auto"/>
        <w:left w:val="none" w:sz="0" w:space="0" w:color="auto"/>
        <w:bottom w:val="none" w:sz="0" w:space="0" w:color="auto"/>
        <w:right w:val="none" w:sz="0" w:space="0" w:color="auto"/>
      </w:divBdr>
      <w:divsChild>
        <w:div w:id="886449477">
          <w:marLeft w:val="835"/>
          <w:marRight w:val="0"/>
          <w:marTop w:val="96"/>
          <w:marBottom w:val="0"/>
          <w:divBdr>
            <w:top w:val="none" w:sz="0" w:space="0" w:color="auto"/>
            <w:left w:val="none" w:sz="0" w:space="0" w:color="auto"/>
            <w:bottom w:val="none" w:sz="0" w:space="0" w:color="auto"/>
            <w:right w:val="none" w:sz="0" w:space="0" w:color="auto"/>
          </w:divBdr>
        </w:div>
        <w:div w:id="1808355522">
          <w:marLeft w:val="835"/>
          <w:marRight w:val="0"/>
          <w:marTop w:val="96"/>
          <w:marBottom w:val="0"/>
          <w:divBdr>
            <w:top w:val="none" w:sz="0" w:space="0" w:color="auto"/>
            <w:left w:val="none" w:sz="0" w:space="0" w:color="auto"/>
            <w:bottom w:val="none" w:sz="0" w:space="0" w:color="auto"/>
            <w:right w:val="none" w:sz="0" w:space="0" w:color="auto"/>
          </w:divBdr>
        </w:div>
        <w:div w:id="182669753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SAQRZK7RPU5V-1-16576</_dlc_DocId>
    <_dlc_DocIdUrl xmlns="08b2df90-05d3-4030-90d4-c9feeb4a1cd9">
      <Url>https://ericoll.internal.ericsson.com/sites/NSA/_layouts/DocIdRedir.aspx?ID=SAQRZK7RPU5V-1-16576</Url>
      <Description>SAQRZK7RPU5V-1-16576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8928C-769F-4EC5-9220-D64E2C565990}">
  <ds:schemaRefs>
    <ds:schemaRef ds:uri="http://schemas.microsoft.com/sharepoint/v4"/>
    <ds:schemaRef ds:uri="http://purl.org/dc/terms/"/>
    <ds:schemaRef ds:uri="http://schemas.microsoft.com/office/2006/metadata/properties"/>
    <ds:schemaRef ds:uri="d46971d8-f4ed-4cac-a977-cede52d8d47b"/>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08b2df90-05d3-4030-90d4-c9feeb4a1cd9"/>
    <ds:schemaRef ds:uri="http://www.w3.org/XML/1998/namespace"/>
  </ds:schemaRefs>
</ds:datastoreItem>
</file>

<file path=customXml/itemProps2.xml><?xml version="1.0" encoding="utf-8"?>
<ds:datastoreItem xmlns:ds="http://schemas.openxmlformats.org/officeDocument/2006/customXml" ds:itemID="{507AA722-2135-45F3-87E3-B901A33CC3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9CEB34-5447-4AD7-80B3-3D84668992D0}">
  <ds:schemaRefs>
    <ds:schemaRef ds:uri="http://schemas.microsoft.com/sharepoint/events"/>
  </ds:schemaRefs>
</ds:datastoreItem>
</file>

<file path=customXml/itemProps4.xml><?xml version="1.0" encoding="utf-8"?>
<ds:datastoreItem xmlns:ds="http://schemas.openxmlformats.org/officeDocument/2006/customXml" ds:itemID="{FB5E695E-B8C2-4874-B142-F779FB04E2DC}">
  <ds:schemaRefs>
    <ds:schemaRef ds:uri="http://schemas.microsoft.com/sharepoint/v3/contenttype/forms"/>
  </ds:schemaRefs>
</ds:datastoreItem>
</file>

<file path=customXml/itemProps5.xml><?xml version="1.0" encoding="utf-8"?>
<ds:datastoreItem xmlns:ds="http://schemas.openxmlformats.org/officeDocument/2006/customXml" ds:itemID="{6C8BDF84-686D-4752-AAB9-1DE658B7568D}">
  <ds:schemaRefs>
    <ds:schemaRef ds:uri="Microsoft.SharePoint.Taxonomy.ContentTypeSync"/>
  </ds:schemaRefs>
</ds:datastoreItem>
</file>

<file path=customXml/itemProps6.xml><?xml version="1.0" encoding="utf-8"?>
<ds:datastoreItem xmlns:ds="http://schemas.openxmlformats.org/officeDocument/2006/customXml" ds:itemID="{1804E5D3-4E39-4B26-BBD5-A67F727D5A71}">
  <ds:schemaRefs>
    <ds:schemaRef ds:uri="http://schemas.microsoft.com/office/2006/metadata/longProperties"/>
  </ds:schemaRefs>
</ds:datastoreItem>
</file>

<file path=customXml/itemProps7.xml><?xml version="1.0" encoding="utf-8"?>
<ds:datastoreItem xmlns:ds="http://schemas.openxmlformats.org/officeDocument/2006/customXml" ds:itemID="{81F08247-6B9F-4576-BAA3-47115D697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7</Pages>
  <Words>2137</Words>
  <Characters>17315</Characters>
  <Application>Microsoft Office Word</Application>
  <DocSecurity>0</DocSecurity>
  <Lines>144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2</cp:revision>
  <cp:lastPrinted>2008-01-31T07:09:00Z</cp:lastPrinted>
  <dcterms:created xsi:type="dcterms:W3CDTF">2017-02-04T00:34:00Z</dcterms:created>
  <dcterms:modified xsi:type="dcterms:W3CDTF">2017-02-04T00:34:00Z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2016-06-29T22:00:00Z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SAQRZK7RPU5V-1-16434</vt:lpwstr>
  </property>
  <property fmtid="{D5CDD505-2E9C-101B-9397-08002B2CF9AE}" pid="5" name="_dlc_DocIdItemGuid">
    <vt:lpwstr>405945bf-1a5d-4fc1-88ce-37051c723eae</vt:lpwstr>
  </property>
  <property fmtid="{D5CDD505-2E9C-101B-9397-08002B2CF9AE}" pid="6" name="_dlc_DocIdUrl">
    <vt:lpwstr>https://ericoll.internal.ericsson.com/sites/NSA/_layouts/DocIdRedir.aspx?ID=SAQRZK7RPU5V-1-16434, SAQRZK7RPU5V-1-16434</vt:lpwstr>
  </property>
  <property fmtid="{D5CDD505-2E9C-101B-9397-08002B2CF9AE}" pid="7" name="EriCOLLProjects">
    <vt:lpwstr/>
  </property>
  <property fmtid="{D5CDD505-2E9C-101B-9397-08002B2CF9AE}" pid="8" name="EriCOLLCategory">
    <vt:lpwstr>1;#Research|7f1f7aab-c784-40ec-8666-825d2ac7abef</vt:lpwstr>
  </property>
  <property fmtid="{D5CDD505-2E9C-101B-9397-08002B2CF9AE}" pid="9" name="EriCOLLCompetence">
    <vt:lpwstr/>
  </property>
  <property fmtid="{D5CDD505-2E9C-101B-9397-08002B2CF9AE}" pid="10" name="EriCOLLOrganizationUnit">
    <vt:lpwstr>2;#GFTE ER WAN APMBB Deployments ＆ Spectrum|644d70e3-351b-4c06-8b80-4aa32d170e18</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0x010100BB337192E63E44A7A744CE7393F41F4E0029755995905BD74495DD3B5564DEF260</vt:lpwstr>
  </property>
</Properties>
</file>